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left="3402" w:firstLine="0"/>
        <w:rPr>
          <w:rFonts w:eastAsia="Times New Roman" w:cs="Times New Roman"/>
          <w:szCs w:val="20"/>
          <w:lang w:val="es-ES" w:eastAsia="es-ES"/>
        </w:rPr>
      </w:pPr>
      <w:bookmarkStart w:id="0" w:name="_GoBack"/>
      <w:bookmarkEnd w:id="0"/>
      <w:r>
        <w:rPr>
          <w:rFonts w:eastAsia="Times New Roman" w:cs="Times New Roman"/>
          <w:b/>
          <w:szCs w:val="20"/>
          <w:lang w:val="es-ES" w:eastAsia="es-ES"/>
        </w:rPr>
        <w:t>INFORME DE LA SEGUNDA SUBCOMISIÓN ESPECIAL MIXTA DE PRESUPUESTOS,</w:t>
      </w:r>
      <w:r>
        <w:rPr>
          <w:rFonts w:eastAsia="Times New Roman" w:cs="Times New Roman"/>
          <w:szCs w:val="20"/>
          <w:lang w:val="es-ES" w:eastAsia="es-ES"/>
        </w:rPr>
        <w:t xml:space="preserve"> recaído en la Partida 26 Ministerio del Deporte, del proyecto de Ley de Presupuestos del Sector Público para el año 2017.</w:t>
      </w:r>
    </w:p>
    <w:p>
      <w:pPr>
        <w:ind w:left="3402" w:firstLine="0"/>
        <w:rPr>
          <w:rFonts w:eastAsia="Times New Roman" w:cs="Times New Roman"/>
          <w:szCs w:val="20"/>
          <w:lang w:val="es-ES" w:eastAsia="es-ES"/>
        </w:rPr>
      </w:pPr>
    </w:p>
    <w:p>
      <w:pPr>
        <w:ind w:left="3402" w:firstLine="0"/>
        <w:outlineLvl w:val="0"/>
        <w:rPr>
          <w:b/>
        </w:rPr>
      </w:pPr>
      <w:r>
        <w:rPr>
          <w:b/>
        </w:rPr>
        <w:t>BOLETÍN Nº 10.912-05</w:t>
      </w:r>
    </w:p>
    <w:p>
      <w:pPr>
        <w:ind w:left="3402" w:firstLine="0"/>
        <w:rPr>
          <w:rFonts w:eastAsia="Times New Roman" w:cs="Times New Roman"/>
          <w:szCs w:val="20"/>
          <w:lang w:val="es-ES" w:eastAsia="es-ES"/>
        </w:rPr>
      </w:pPr>
      <w:r>
        <w:rPr>
          <w:rFonts w:eastAsia="Times New Roman" w:cs="Times New Roman"/>
          <w:szCs w:val="20"/>
          <w:lang w:val="es-ES" w:eastAsia="es-ES"/>
        </w:rPr>
        <w:t>________________________________</w:t>
      </w:r>
    </w:p>
    <w:p>
      <w:pPr>
        <w:tabs>
          <w:tab w:val="left" w:pos="2835"/>
        </w:tabs>
        <w:ind w:firstLine="0"/>
        <w:rPr>
          <w:rFonts w:eastAsia="Times New Roman" w:cs="Times New Roman"/>
          <w:szCs w:val="20"/>
          <w:lang w:val="es-ES" w:eastAsia="es-ES"/>
        </w:rPr>
      </w:pPr>
    </w:p>
    <w:p>
      <w:pPr>
        <w:tabs>
          <w:tab w:val="left" w:pos="2835"/>
        </w:tabs>
        <w:ind w:firstLine="0"/>
        <w:rPr>
          <w:rFonts w:eastAsia="Times New Roman" w:cs="Times New Roman"/>
          <w:szCs w:val="20"/>
          <w:lang w:val="es-ES" w:eastAsia="es-ES"/>
        </w:rPr>
      </w:pPr>
    </w:p>
    <w:p>
      <w:pPr>
        <w:tabs>
          <w:tab w:val="left" w:pos="2835"/>
        </w:tabs>
        <w:ind w:firstLine="0"/>
        <w:rPr>
          <w:rFonts w:eastAsia="Times New Roman" w:cs="Times New Roman"/>
          <w:szCs w:val="20"/>
          <w:lang w:val="es-ES" w:eastAsia="es-ES"/>
        </w:rPr>
      </w:pPr>
    </w:p>
    <w:p>
      <w:pPr>
        <w:tabs>
          <w:tab w:val="left" w:pos="2835"/>
        </w:tabs>
        <w:ind w:firstLine="0"/>
        <w:outlineLvl w:val="0"/>
        <w:rPr>
          <w:rFonts w:eastAsia="Times New Roman" w:cs="Times New Roman"/>
          <w:b/>
          <w:szCs w:val="20"/>
          <w:lang w:val="es-ES" w:eastAsia="es-ES"/>
        </w:rPr>
      </w:pPr>
      <w:r>
        <w:rPr>
          <w:rFonts w:eastAsia="Times New Roman" w:cs="Times New Roman"/>
          <w:b/>
          <w:szCs w:val="20"/>
          <w:lang w:val="es-ES" w:eastAsia="es-ES"/>
        </w:rPr>
        <w:t>HONORABLE COMISIÓN ESPECIAL MIXTA DE PRESUPUESTOS:</w:t>
      </w:r>
    </w:p>
    <w:p>
      <w:pPr>
        <w:tabs>
          <w:tab w:val="left" w:pos="2835"/>
        </w:tabs>
        <w:ind w:firstLine="0"/>
        <w:rPr>
          <w:rFonts w:eastAsia="Times New Roman" w:cs="Times New Roman"/>
          <w:szCs w:val="20"/>
          <w:lang w:val="es-ES" w:eastAsia="es-ES"/>
        </w:rPr>
      </w:pPr>
    </w:p>
    <w:p>
      <w:pPr>
        <w:tabs>
          <w:tab w:val="left" w:pos="2835"/>
        </w:tabs>
        <w:ind w:firstLine="0"/>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Vuestra Segunda Subcomisión Especial Mixta de Presupuestos tiene el honor de informaros la Partida indicada en el rubro, del proyecto de Ley de Presupuestos del Sector Público para el año 2017.</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Se adjunta como anexo de este informe, en ejemplar único, copia de la referida Partida, en la forma en que fue despachada.</w:t>
      </w:r>
    </w:p>
    <w:p>
      <w:pPr>
        <w:tabs>
          <w:tab w:val="left" w:pos="2835"/>
        </w:tabs>
        <w:rPr>
          <w:rFonts w:eastAsia="Times New Roman" w:cs="Times New Roman"/>
          <w:szCs w:val="20"/>
          <w:lang w:val="es-ES" w:eastAsia="es-ES"/>
        </w:rPr>
      </w:pPr>
    </w:p>
    <w:p>
      <w:pPr>
        <w:tabs>
          <w:tab w:val="left" w:pos="2835"/>
        </w:tabs>
        <w:ind w:firstLine="0"/>
        <w:jc w:val="center"/>
        <w:rPr>
          <w:rFonts w:eastAsia="Times New Roman" w:cs="Times New Roman"/>
          <w:szCs w:val="20"/>
          <w:lang w:val="es-ES" w:eastAsia="es-ES"/>
        </w:rPr>
      </w:pPr>
      <w:r>
        <w:rPr>
          <w:rFonts w:eastAsia="Times New Roman" w:cs="Times New Roman"/>
          <w:szCs w:val="20"/>
          <w:lang w:val="es-ES" w:eastAsia="es-ES"/>
        </w:rPr>
        <w:t>- - -</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Vuestra Subcomisión estudió la Partida en sesión celebrada el lunes 24 de octubre de 2017, con la asistencia de sus miembros, Honorables Diputados señores Pablo Lorenzini Basso (Presidente), Javier Macaya Danús, y Daniel Núñez Arancibia.</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Asistieron, además, los Honorables Diputados señores Pedro Brown Urrejola, Romilio Gutiérrez Pino, Jaime Pilowsky Greene y Alberto Robles Pantoja.</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Concurrieron especialmente invitados: del Ministerio del Deporte, la Ministra señora Natalia Riffo y la Subsecretaria señora Nicole Sáez; y del Instituto Nacional de Deportes, el Director Nacional, señor Juan Carlos Cabezas.</w:t>
      </w:r>
    </w:p>
    <w:p>
      <w:pPr>
        <w:tabs>
          <w:tab w:val="left" w:pos="2835"/>
        </w:tabs>
        <w:rPr>
          <w:rFonts w:eastAsia="Times New Roman" w:cs="Times New Roman"/>
          <w:szCs w:val="20"/>
          <w:highlight w:val="yellow"/>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De la Dirección de Presupuestos, el Subdirector señor Gustavo Rivera; la Jefa del Sector Ministerios Políticos y Medio Ambiente, señora Mabel Barrales.</w:t>
      </w:r>
    </w:p>
    <w:p>
      <w:pPr>
        <w:tabs>
          <w:tab w:val="left" w:pos="2835"/>
        </w:tabs>
        <w:ind w:firstLine="0"/>
        <w:rPr>
          <w:rFonts w:eastAsia="Times New Roman" w:cs="Times New Roman"/>
          <w:szCs w:val="20"/>
          <w:lang w:val="es-ES" w:eastAsia="es-ES"/>
        </w:rPr>
      </w:pPr>
    </w:p>
    <w:p>
      <w:pPr>
        <w:tabs>
          <w:tab w:val="left" w:pos="2835"/>
        </w:tabs>
        <w:ind w:firstLine="0"/>
        <w:jc w:val="center"/>
        <w:rPr>
          <w:rFonts w:eastAsia="Times New Roman" w:cs="Times New Roman"/>
          <w:szCs w:val="20"/>
          <w:lang w:val="es-ES" w:eastAsia="es-ES"/>
        </w:rPr>
      </w:pPr>
      <w:r>
        <w:rPr>
          <w:rFonts w:eastAsia="Times New Roman" w:cs="Times New Roman"/>
          <w:szCs w:val="20"/>
          <w:lang w:val="es-ES" w:eastAsia="es-ES"/>
        </w:rPr>
        <w:t>- - -</w:t>
      </w:r>
    </w:p>
    <w:p>
      <w:pPr>
        <w:tabs>
          <w:tab w:val="left" w:pos="2835"/>
        </w:tabs>
        <w:ind w:firstLine="0"/>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A continuación, se efectuará una breve relación del contenido de esta Partida, del debate habido a su respecto y de los acuerdos que se adoptaron:</w:t>
      </w:r>
    </w:p>
    <w:p>
      <w:pPr>
        <w:rPr>
          <w:rFonts w:eastAsia="Times New Roman" w:cs="Times New Roman"/>
          <w:szCs w:val="20"/>
          <w:lang w:val="es-ES" w:eastAsia="es-ES"/>
        </w:rPr>
      </w:pPr>
      <w:r>
        <w:rPr>
          <w:rFonts w:eastAsia="Times New Roman" w:cs="Times New Roman"/>
          <w:szCs w:val="20"/>
          <w:lang w:val="es-ES" w:eastAsia="es-ES"/>
        </w:rPr>
        <w:br w:type="page"/>
      </w:r>
    </w:p>
    <w:p>
      <w:pPr>
        <w:tabs>
          <w:tab w:val="left" w:pos="2835"/>
        </w:tabs>
        <w:ind w:firstLine="0"/>
        <w:jc w:val="center"/>
        <w:outlineLvl w:val="0"/>
        <w:rPr>
          <w:rFonts w:eastAsia="Times New Roman" w:cs="Times New Roman"/>
          <w:b/>
          <w:szCs w:val="20"/>
          <w:lang w:val="es-ES" w:eastAsia="es-ES"/>
        </w:rPr>
      </w:pPr>
      <w:r>
        <w:rPr>
          <w:rFonts w:eastAsia="Times New Roman" w:cs="Times New Roman"/>
          <w:b/>
          <w:szCs w:val="20"/>
          <w:lang w:val="es-ES" w:eastAsia="es-ES"/>
        </w:rPr>
        <w:t>PARTIDA 26</w:t>
      </w:r>
    </w:p>
    <w:p>
      <w:pPr>
        <w:tabs>
          <w:tab w:val="left" w:pos="2835"/>
        </w:tabs>
        <w:ind w:firstLine="0"/>
        <w:rPr>
          <w:rFonts w:eastAsia="Times New Roman" w:cs="Times New Roman"/>
          <w:szCs w:val="20"/>
          <w:lang w:val="es-ES" w:eastAsia="es-ES"/>
        </w:rPr>
      </w:pPr>
    </w:p>
    <w:p>
      <w:pPr>
        <w:ind w:firstLine="708"/>
        <w:jc w:val="center"/>
        <w:rPr>
          <w:rFonts w:eastAsia="Times New Roman"/>
          <w:b/>
          <w:lang w:val="es-ES" w:eastAsia="es-ES"/>
        </w:rPr>
      </w:pPr>
      <w:r>
        <w:rPr>
          <w:rFonts w:eastAsia="Times New Roman"/>
          <w:b/>
          <w:lang w:val="es-ES" w:eastAsia="es-ES"/>
        </w:rPr>
        <w:t>MINISTERIO DEL DEPORTE</w:t>
      </w:r>
    </w:p>
    <w:p>
      <w:pPr>
        <w:ind w:firstLine="708"/>
        <w:jc w:val="center"/>
        <w:rPr>
          <w:rFonts w:eastAsia="Times New Roman"/>
          <w:b/>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La Partida en estudio se compone de dos Capítulos, correspondientes a 01 Subsecretaría del Deporte y 02 Instituto Nacional de Deportes, que se analizarán en ese orden.</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La Partida 26 comprende los siguientes Ingresos y Gastos: Ingresos por un total de $133.727.206 miles, desglosados en, Transferencias Corrientes $13.531.192 miles, Rentas de la Propiedad $5.039 miles, Ingresos de Operación $2.425.196 miles, Otros Ingresos Corrientes $832.709 miles, Aporte Fiscal $115.686.502 miles, Venta de Activos No Financieros $10.691 miles y Recuperación de Préstamos $1.235.877 miles.</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Gastos equivalentes a $133.727.206 miles, desglosados en: Gastos en Personal $22.813.787 miles, Bienes y Servicios de Consumo $9.704.241 miles, Prestaciones de Seguridad Social $40.080 miles, Transferencias Corrientes $66.952.541 miles, Integros al Fisco $279.737 miles, Adquisición de Activos No Financieros $1.233.853 miles, Iniciativas de Inversión $25.334.289 miles, Transferencias de Capital $7.367.678 miles y Servicio de la Deuda $1.000 miles.</w:t>
      </w:r>
    </w:p>
    <w:p>
      <w:pPr>
        <w:ind w:firstLine="708"/>
        <w:rPr>
          <w:rFonts w:eastAsia="Times New Roman" w:cs="Times New Roman"/>
          <w:szCs w:val="20"/>
          <w:lang w:val="es-ES" w:eastAsia="es-ES"/>
        </w:rPr>
      </w:pPr>
    </w:p>
    <w:p>
      <w:pPr>
        <w:ind w:firstLine="708"/>
        <w:rPr>
          <w:rFonts w:eastAsia="Times New Roman"/>
          <w:lang w:val="es-ES" w:eastAsia="es-ES"/>
        </w:rPr>
      </w:pPr>
    </w:p>
    <w:p>
      <w:pPr>
        <w:ind w:firstLine="708"/>
        <w:jc w:val="center"/>
        <w:rPr>
          <w:rFonts w:eastAsia="Times New Roman"/>
          <w:b/>
          <w:lang w:val="es-ES" w:eastAsia="es-ES"/>
        </w:rPr>
      </w:pPr>
      <w:r>
        <w:rPr>
          <w:rFonts w:eastAsia="Times New Roman"/>
          <w:b/>
          <w:lang w:val="es-ES" w:eastAsia="es-ES"/>
        </w:rPr>
        <w:t>Capítulo 01</w:t>
      </w:r>
    </w:p>
    <w:p>
      <w:pPr>
        <w:ind w:firstLine="708"/>
        <w:jc w:val="center"/>
        <w:rPr>
          <w:rFonts w:eastAsia="Times New Roman"/>
          <w:b/>
          <w:lang w:val="es-ES" w:eastAsia="es-ES"/>
        </w:rPr>
      </w:pPr>
    </w:p>
    <w:p>
      <w:pPr>
        <w:ind w:firstLine="708"/>
        <w:jc w:val="center"/>
        <w:rPr>
          <w:rFonts w:eastAsia="Times New Roman"/>
          <w:b/>
          <w:lang w:val="es-ES" w:eastAsia="es-ES"/>
        </w:rPr>
      </w:pPr>
      <w:r>
        <w:rPr>
          <w:rFonts w:eastAsia="Times New Roman"/>
          <w:b/>
          <w:lang w:val="es-ES" w:eastAsia="es-ES"/>
        </w:rPr>
        <w:t>Programa 01</w:t>
      </w:r>
    </w:p>
    <w:p>
      <w:pPr>
        <w:ind w:firstLine="708"/>
        <w:jc w:val="center"/>
        <w:rPr>
          <w:rFonts w:eastAsia="Times New Roman"/>
          <w:b/>
          <w:lang w:val="es-ES" w:eastAsia="es-ES"/>
        </w:rPr>
      </w:pPr>
      <w:r>
        <w:rPr>
          <w:rFonts w:eastAsia="Times New Roman"/>
          <w:b/>
          <w:lang w:val="es-ES" w:eastAsia="es-ES"/>
        </w:rPr>
        <w:t>Subsecretaría del Deporte</w:t>
      </w:r>
    </w:p>
    <w:p>
      <w:pPr>
        <w:tabs>
          <w:tab w:val="left" w:pos="2835"/>
        </w:tabs>
        <w:ind w:firstLine="0"/>
        <w:outlineLvl w:val="0"/>
        <w:rPr>
          <w:rFonts w:eastAsia="Times New Roman"/>
          <w:lang w:val="es-ES" w:eastAsia="es-ES"/>
        </w:rPr>
      </w:pPr>
    </w:p>
    <w:p>
      <w:pPr>
        <w:rPr>
          <w:rFonts w:eastAsia="Times New Roman"/>
          <w:lang w:val="es-ES" w:eastAsia="es-ES"/>
        </w:rPr>
      </w:pPr>
      <w:r>
        <w:rPr>
          <w:rFonts w:eastAsia="Times New Roman"/>
          <w:lang w:val="es-ES" w:eastAsia="es-ES"/>
        </w:rPr>
        <w:t>El Capítulo 01 Programa 01 Subsecretaría del Deporte contempla Ingresos por un monto de $6.614.900 miles correspondientes en su totalidad a Aporte Fiscal.</w:t>
      </w:r>
    </w:p>
    <w:p>
      <w:pPr>
        <w:ind w:firstLine="2800"/>
        <w:rPr>
          <w:rFonts w:eastAsia="Times New Roman"/>
          <w:lang w:val="es-ES" w:eastAsia="es-ES"/>
        </w:rPr>
      </w:pPr>
    </w:p>
    <w:p>
      <w:pPr>
        <w:ind w:firstLine="2800"/>
        <w:rPr>
          <w:rFonts w:eastAsia="Times New Roman"/>
          <w:lang w:val="es-ES" w:eastAsia="es-ES"/>
        </w:rPr>
      </w:pPr>
      <w:r>
        <w:rPr>
          <w:rFonts w:eastAsia="Times New Roman"/>
          <w:lang w:val="es-ES" w:eastAsia="es-ES"/>
        </w:rPr>
        <w:t>Asimismo, considera Gastos por $6.614.900 miles desglosados en: Gastos en Personal $4.201.757 miles, Bienes y Servicios de Consumo $1.350.207 miles, Transferencias Corrientes $742.383 miles y Adquisición de Activos No Financieros $320.553 miles.</w:t>
      </w:r>
    </w:p>
    <w:p>
      <w:pPr>
        <w:ind w:firstLine="2800"/>
        <w:rPr>
          <w:rFonts w:eastAsia="Times New Roman"/>
          <w:lang w:val="es-ES" w:eastAsia="es-ES"/>
        </w:rPr>
      </w:pPr>
    </w:p>
    <w:p>
      <w:pPr>
        <w:ind w:firstLine="2800"/>
        <w:rPr>
          <w:rFonts w:eastAsia="Times New Roman"/>
          <w:lang w:val="es-ES" w:eastAsia="es-ES"/>
        </w:rPr>
      </w:pPr>
      <w:r>
        <w:rPr>
          <w:rFonts w:eastAsia="Times New Roman"/>
          <w:lang w:val="es-ES" w:eastAsia="es-ES"/>
        </w:rPr>
        <w:t>El Capítulo contiene cuatro glosas.</w:t>
      </w:r>
    </w:p>
    <w:p>
      <w:pPr>
        <w:ind w:firstLine="2800"/>
        <w:rPr>
          <w:rFonts w:eastAsia="Times New Roman"/>
          <w:lang w:val="es-ES" w:eastAsia="es-ES"/>
        </w:rPr>
      </w:pPr>
    </w:p>
    <w:p>
      <w:pPr>
        <w:ind w:firstLine="2800"/>
        <w:rPr>
          <w:rFonts w:eastAsia="Times New Roman"/>
          <w:lang w:val="es-ES" w:eastAsia="es-ES"/>
        </w:rPr>
      </w:pPr>
      <w:r>
        <w:rPr>
          <w:rFonts w:eastAsia="Times New Roman"/>
          <w:lang w:val="es-ES" w:eastAsia="es-ES"/>
        </w:rPr>
        <w:t>La Glosa 01, que incluye una dotación máxima de 18 vehículos.</w:t>
      </w:r>
    </w:p>
    <w:p>
      <w:pPr>
        <w:ind w:firstLine="2800"/>
        <w:rPr>
          <w:rFonts w:eastAsia="Times New Roman"/>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El Subtítulo 21 Gastos en Personal, cuenta con la Glosa 02, que incluye:</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a) Dotación máxima de personal: 119.</w:t>
      </w:r>
    </w:p>
    <w:p>
      <w:pPr>
        <w:tabs>
          <w:tab w:val="left" w:pos="2835"/>
        </w:tabs>
        <w:rPr>
          <w:rFonts w:eastAsia="Times New Roman" w:cs="Times New Roman"/>
          <w:szCs w:val="20"/>
          <w:lang w:val="es-ES" w:eastAsia="es-ES"/>
        </w:rPr>
      </w:pPr>
      <w:r>
        <w:rPr>
          <w:rFonts w:eastAsia="Times New Roman" w:cs="Times New Roman"/>
          <w:szCs w:val="20"/>
          <w:lang w:val="es-ES" w:eastAsia="es-ES"/>
        </w:rPr>
        <w:t>No regirá la limitación establecida en el inciso segundo del artículo 10 de la ley Nº 18.834, respecto de los empleos a contrata incluidos en esta dotación.</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lastRenderedPageBreak/>
        <w:t>Agrega la glosa que el personal a contrata podrá desempeñar las funciones de carácter directivo que se le asignen o deleguen, mediante resolución fundada del Jefe de Servicio, en la que deberá precisarse las referidas funciones. El señalado personal no podrá exceder de 18 funcionarios, además del requerido para la subrogancia del Secretario Regional Ministerial respectivo.</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b) Horas extraordinarias año: $49.616 miles.</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c) Autorización máxima para gastos en viáticos: en territorio nacional $68.875 miles y en el exterior $23.490 miles.</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d) Convenios con personas naturales: número de personas 21, por $517.895 miles.</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e) Autorización máxima para cumplimiento artículo septuagésimo tercero de la ley N° 19.882, asignación por funciones críticas: número de personas 24, por $264.197 miles.</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La Glosa 03, referida al Subtítulo 22 Bienes y Servicios de Consumo, incluye capacitación y perfeccionamiento ley Nº 18.575, ascendente a $13.215 miles.</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El Subtítulo 24 Ítem 03 Transferencias Corrientes a Otras Entidades Públicas contiene la Glosa 04, que dispone que con cargo a estos recursos se podrá financiar todo tipo de gastos, incluidos los de personal, que demande la ejecución de este programa. Este gasto en personal incluye: en el caso de la Comisión Nacional de Dopaje $124.381 miles para financiar un número de hasta 12 personas; para los Planes Deportivos Comunales $71.506 miles para financiar a 7 personas y; para el programa de Promoción de la Actividad Física y el Deporte $18.818 miles, para el financiamiento de 2 personas.</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Finalmente dispone que la Subsecretaría deberá enviar trimestralmente a la Comisión de Deportes y Recreación de la Cámara de Diputados un informe respecto del avance y ejecución presupuestaria correspondiente.</w:t>
      </w:r>
    </w:p>
    <w:p>
      <w:pPr>
        <w:tabs>
          <w:tab w:val="left" w:pos="2835"/>
        </w:tabs>
        <w:ind w:firstLine="0"/>
        <w:outlineLvl w:val="0"/>
        <w:rPr>
          <w:rFonts w:eastAsia="Times New Roman"/>
          <w:lang w:val="es-ES" w:eastAsia="es-ES"/>
        </w:rPr>
      </w:pPr>
    </w:p>
    <w:p>
      <w:pPr>
        <w:tabs>
          <w:tab w:val="left" w:pos="2835"/>
        </w:tabs>
        <w:ind w:firstLine="0"/>
        <w:jc w:val="center"/>
        <w:rPr>
          <w:rFonts w:eastAsia="Times New Roman" w:cs="Times New Roman"/>
          <w:szCs w:val="20"/>
          <w:lang w:val="es-ES" w:eastAsia="es-ES"/>
        </w:rPr>
      </w:pPr>
      <w:r>
        <w:rPr>
          <w:rFonts w:eastAsia="Times New Roman" w:cs="Times New Roman"/>
          <w:szCs w:val="20"/>
          <w:lang w:val="es-ES" w:eastAsia="es-ES"/>
        </w:rPr>
        <w:t>- - -</w:t>
      </w:r>
    </w:p>
    <w:p>
      <w:pPr>
        <w:tabs>
          <w:tab w:val="left" w:pos="2835"/>
        </w:tabs>
        <w:ind w:firstLine="0"/>
        <w:jc w:val="center"/>
        <w:rPr>
          <w:rFonts w:eastAsia="Times New Roman" w:cs="Times New Roman"/>
          <w:b/>
          <w:szCs w:val="20"/>
          <w:lang w:val="es-ES" w:eastAsia="es-ES"/>
        </w:rPr>
      </w:pPr>
    </w:p>
    <w:p>
      <w:pPr>
        <w:tabs>
          <w:tab w:val="left" w:pos="2835"/>
        </w:tabs>
        <w:ind w:firstLine="0"/>
        <w:jc w:val="center"/>
        <w:rPr>
          <w:rFonts w:eastAsia="Times New Roman" w:cs="Times New Roman"/>
          <w:b/>
          <w:szCs w:val="20"/>
          <w:lang w:val="es-ES" w:eastAsia="es-ES"/>
        </w:rPr>
      </w:pPr>
      <w:r>
        <w:rPr>
          <w:rFonts w:eastAsia="Times New Roman" w:cs="Times New Roman"/>
          <w:b/>
          <w:szCs w:val="20"/>
          <w:lang w:val="es-ES" w:eastAsia="es-ES"/>
        </w:rPr>
        <w:t>Capítulo 02</w:t>
      </w:r>
    </w:p>
    <w:p>
      <w:pPr>
        <w:tabs>
          <w:tab w:val="left" w:pos="2835"/>
        </w:tabs>
        <w:ind w:firstLine="0"/>
        <w:jc w:val="left"/>
        <w:rPr>
          <w:rFonts w:eastAsia="Times New Roman" w:cs="Times New Roman"/>
          <w:szCs w:val="20"/>
          <w:lang w:val="es-ES" w:eastAsia="es-ES"/>
        </w:rPr>
      </w:pPr>
    </w:p>
    <w:p>
      <w:pPr>
        <w:tabs>
          <w:tab w:val="left" w:pos="2835"/>
        </w:tabs>
        <w:ind w:firstLine="0"/>
        <w:jc w:val="center"/>
        <w:rPr>
          <w:rFonts w:eastAsia="Times New Roman" w:cs="Times New Roman"/>
          <w:b/>
          <w:szCs w:val="20"/>
          <w:lang w:val="es-ES" w:eastAsia="es-ES"/>
        </w:rPr>
      </w:pPr>
      <w:r>
        <w:rPr>
          <w:rFonts w:eastAsia="Times New Roman" w:cs="Times New Roman"/>
          <w:b/>
          <w:szCs w:val="20"/>
          <w:lang w:val="es-ES" w:eastAsia="es-ES"/>
        </w:rPr>
        <w:t>Programa 01</w:t>
      </w:r>
    </w:p>
    <w:p>
      <w:pPr>
        <w:tabs>
          <w:tab w:val="left" w:pos="2835"/>
        </w:tabs>
        <w:ind w:firstLine="0"/>
        <w:jc w:val="center"/>
        <w:rPr>
          <w:rFonts w:eastAsia="Times New Roman" w:cs="Times New Roman"/>
          <w:b/>
          <w:szCs w:val="20"/>
          <w:lang w:val="es-ES" w:eastAsia="es-ES"/>
        </w:rPr>
      </w:pPr>
      <w:r>
        <w:rPr>
          <w:rFonts w:eastAsia="Times New Roman" w:cs="Times New Roman"/>
          <w:b/>
          <w:szCs w:val="20"/>
          <w:lang w:val="es-ES" w:eastAsia="es-ES"/>
        </w:rPr>
        <w:t>Instituto Nacional de Deportes</w:t>
      </w:r>
    </w:p>
    <w:p>
      <w:pPr>
        <w:tabs>
          <w:tab w:val="left" w:pos="2835"/>
        </w:tabs>
        <w:ind w:firstLine="0"/>
        <w:rPr>
          <w:rFonts w:eastAsia="Times New Roman" w:cs="Times New Roman"/>
          <w:b/>
          <w:szCs w:val="20"/>
          <w:lang w:val="es-ES" w:eastAsia="es-ES"/>
        </w:rPr>
      </w:pPr>
    </w:p>
    <w:p>
      <w:pPr>
        <w:tabs>
          <w:tab w:val="left" w:pos="2835"/>
        </w:tabs>
        <w:rPr>
          <w:rFonts w:eastAsia="Times New Roman"/>
          <w:lang w:val="es-ES" w:eastAsia="es-ES"/>
        </w:rPr>
      </w:pPr>
      <w:r>
        <w:rPr>
          <w:rFonts w:eastAsia="Times New Roman" w:cs="Times New Roman"/>
          <w:szCs w:val="20"/>
          <w:lang w:val="es-ES" w:eastAsia="es-ES"/>
        </w:rPr>
        <w:t>El Programa considera Ingresos por $121.606.332 miles, originados en Transferencias Corrientes $13.414.478 miles,</w:t>
      </w:r>
      <w:r>
        <w:rPr>
          <w:rFonts w:eastAsia="Times New Roman"/>
          <w:lang w:val="es-ES" w:eastAsia="es-ES"/>
        </w:rPr>
        <w:t xml:space="preserve"> Rentas de la Propiedad $5.039 miles, Ingresos de Operación $2.425.196 miles, Otros Ingresos Corrientes $375.779 miles, Aporte Fiscal $104.139.272 miles, Venta de Activos No Financieros $10.691 miles y Recuperación de Préstamos $1.235.877 miles.</w:t>
      </w:r>
    </w:p>
    <w:p>
      <w:pPr>
        <w:ind w:firstLine="2800"/>
        <w:rPr>
          <w:rFonts w:eastAsia="Times New Roman"/>
          <w:lang w:val="es-ES" w:eastAsia="es-ES"/>
        </w:rPr>
      </w:pPr>
    </w:p>
    <w:p>
      <w:pPr>
        <w:ind w:firstLine="2800"/>
        <w:rPr>
          <w:rFonts w:eastAsia="Times New Roman"/>
          <w:lang w:val="es-ES" w:eastAsia="es-ES"/>
        </w:rPr>
      </w:pPr>
      <w:r>
        <w:rPr>
          <w:rFonts w:eastAsia="Times New Roman"/>
          <w:lang w:val="es-ES" w:eastAsia="es-ES"/>
        </w:rPr>
        <w:lastRenderedPageBreak/>
        <w:t>Contempla Gastos por $121.606.332 miles desglosados en: Gastos en Personal $18.612.030 miles, Bienes y Servicios de Consumo $8.086.989 miles, Prestaciones de Seguridad Social $40.080 miles, Transferencias Corrientes $61.400.946 miles, Integros al Fisco $279.737 miles, Adquisición de Activos No Financieros $913.300 miles, Iniciativas de Inversión $25.334.289 miles, Transferencias de Capital $6.937.961 miles y Servicio de la Deuda $1.000 miles.</w:t>
      </w:r>
    </w:p>
    <w:p>
      <w:pPr>
        <w:ind w:firstLine="2800"/>
        <w:rPr>
          <w:rFonts w:eastAsia="Times New Roman"/>
          <w:lang w:val="es-ES" w:eastAsia="es-ES"/>
        </w:rPr>
      </w:pPr>
    </w:p>
    <w:p>
      <w:pPr>
        <w:ind w:firstLine="2800"/>
        <w:rPr>
          <w:rFonts w:eastAsia="Times New Roman"/>
          <w:lang w:val="es-ES" w:eastAsia="es-ES"/>
        </w:rPr>
      </w:pPr>
      <w:r>
        <w:rPr>
          <w:rFonts w:eastAsia="Times New Roman"/>
          <w:lang w:val="es-ES" w:eastAsia="es-ES"/>
        </w:rPr>
        <w:t>Este Programa contiene 12 glosas. Las siguientes tres, asociadas directamente al Programa:</w:t>
      </w:r>
    </w:p>
    <w:p>
      <w:pPr>
        <w:ind w:firstLine="2800"/>
        <w:rPr>
          <w:rFonts w:eastAsia="Times New Roman"/>
          <w:lang w:val="es-ES" w:eastAsia="es-ES"/>
        </w:rPr>
      </w:pPr>
    </w:p>
    <w:p>
      <w:pPr>
        <w:ind w:firstLine="2800"/>
        <w:rPr>
          <w:rFonts w:eastAsia="Times New Roman"/>
          <w:lang w:val="es-ES" w:eastAsia="es-ES"/>
        </w:rPr>
      </w:pPr>
      <w:r>
        <w:rPr>
          <w:rFonts w:eastAsia="Times New Roman"/>
          <w:lang w:val="es-ES" w:eastAsia="es-ES"/>
        </w:rPr>
        <w:t>Glosa 01 establece una dotación máxima de 50 vehículos.</w:t>
      </w:r>
    </w:p>
    <w:p>
      <w:pPr>
        <w:ind w:firstLine="2800"/>
        <w:rPr>
          <w:rFonts w:eastAsia="Times New Roman"/>
          <w:lang w:val="es-ES" w:eastAsia="es-ES"/>
        </w:rPr>
      </w:pPr>
    </w:p>
    <w:p>
      <w:pPr>
        <w:ind w:firstLine="2800"/>
        <w:rPr>
          <w:rFonts w:eastAsia="Times New Roman"/>
          <w:lang w:val="es-ES" w:eastAsia="es-ES"/>
        </w:rPr>
      </w:pPr>
      <w:r>
        <w:rPr>
          <w:rFonts w:eastAsia="Times New Roman"/>
          <w:lang w:val="es-ES" w:eastAsia="es-ES"/>
        </w:rPr>
        <w:t>Glosa 02 prescribe que el Instituto Nacional de Deportes no podrá entregar fondos a entidades con rendiciones de cuenta pendientes por fondos recibidos con anterioridad.</w:t>
      </w:r>
    </w:p>
    <w:p>
      <w:pPr>
        <w:ind w:firstLine="2800"/>
        <w:rPr>
          <w:rFonts w:eastAsia="Times New Roman"/>
          <w:lang w:val="es-ES" w:eastAsia="es-ES"/>
        </w:rPr>
      </w:pPr>
    </w:p>
    <w:p>
      <w:pPr>
        <w:ind w:firstLine="2800"/>
        <w:rPr>
          <w:rFonts w:eastAsia="Times New Roman"/>
          <w:lang w:val="es-ES" w:eastAsia="es-ES"/>
        </w:rPr>
      </w:pPr>
      <w:r>
        <w:rPr>
          <w:rFonts w:eastAsia="Times New Roman"/>
          <w:lang w:val="es-ES" w:eastAsia="es-ES"/>
        </w:rPr>
        <w:t>Glosa 03 señala que el Instituto deberá informar semestralmente a la Comisión Especial Mixta de Presupuestos sobre las boletas de garantía susceptibles de ser cobradas y aquellas que han sido debidamente ejecutadas.</w:t>
      </w:r>
    </w:p>
    <w:p>
      <w:pPr>
        <w:ind w:firstLine="2800"/>
        <w:rPr>
          <w:rFonts w:eastAsia="Times New Roman"/>
          <w:lang w:val="es-ES" w:eastAsia="es-ES"/>
        </w:rPr>
      </w:pPr>
    </w:p>
    <w:p>
      <w:pPr>
        <w:ind w:firstLine="2800"/>
        <w:rPr>
          <w:rFonts w:eastAsia="Times New Roman"/>
          <w:lang w:val="es-ES" w:eastAsia="es-ES"/>
        </w:rPr>
      </w:pPr>
      <w:r>
        <w:rPr>
          <w:rFonts w:eastAsia="Times New Roman"/>
          <w:lang w:val="es-ES" w:eastAsia="es-ES"/>
        </w:rPr>
        <w:t>El Subtítulo 21 Gastos en Personal, considera la Glosa 04, que incluye:</w:t>
      </w:r>
    </w:p>
    <w:p>
      <w:pPr>
        <w:ind w:firstLine="2800"/>
        <w:rPr>
          <w:rFonts w:eastAsia="Times New Roman"/>
          <w:lang w:val="es-ES" w:eastAsia="es-ES"/>
        </w:rPr>
      </w:pPr>
    </w:p>
    <w:p>
      <w:pPr>
        <w:ind w:firstLine="2800"/>
        <w:rPr>
          <w:rFonts w:eastAsia="Times New Roman"/>
          <w:lang w:val="es-ES" w:eastAsia="es-ES"/>
        </w:rPr>
      </w:pPr>
      <w:r>
        <w:rPr>
          <w:rFonts w:eastAsia="Times New Roman"/>
          <w:lang w:val="es-ES" w:eastAsia="es-ES"/>
        </w:rPr>
        <w:t>a) Dotación máxima de personal, 730 personas.</w:t>
      </w:r>
    </w:p>
    <w:p>
      <w:pPr>
        <w:ind w:firstLine="2800"/>
        <w:rPr>
          <w:rFonts w:eastAsia="Times New Roman"/>
          <w:lang w:val="es-ES" w:eastAsia="es-ES"/>
        </w:rPr>
      </w:pPr>
      <w:r>
        <w:rPr>
          <w:rFonts w:eastAsia="Times New Roman"/>
          <w:lang w:val="es-ES" w:eastAsia="es-ES"/>
        </w:rPr>
        <w:t>No regirá la limitación establecida en el inciso segundo del artículo 10 de la Ley N°18.834, respecto de los empleos a contrata incluidos en esta dotación.</w:t>
      </w:r>
    </w:p>
    <w:p>
      <w:pPr>
        <w:ind w:firstLine="2800"/>
        <w:rPr>
          <w:rFonts w:eastAsia="Times New Roman"/>
          <w:lang w:val="es-ES" w:eastAsia="es-ES"/>
        </w:rPr>
      </w:pPr>
    </w:p>
    <w:p>
      <w:pPr>
        <w:ind w:firstLine="2800"/>
        <w:rPr>
          <w:rFonts w:eastAsia="Times New Roman"/>
          <w:lang w:val="es-ES" w:eastAsia="es-ES"/>
        </w:rPr>
      </w:pPr>
      <w:r>
        <w:rPr>
          <w:rFonts w:eastAsia="Times New Roman"/>
          <w:lang w:val="es-ES" w:eastAsia="es-ES"/>
        </w:rPr>
        <w:t>El personal a contrata del Servicio podrá desempeñar las funciones de carácter directivo que se le asignen o deleguen, mediante resolución fundada del Jefe de Servicio, en la que deberá precisarse las referidas funciones. Dicho personal no podrá exceder de 45 funcionarios. Se podrá contratar hasta 291 trabajadores, adicional a esta dotación, en conformidad a lo dispuesto en el inciso segundo del artículo 27 de la ley N° 19.712. Con todo, el monto anual de estas contrataciones no podrá exceder la suma de $2.980.323 miles.</w:t>
      </w:r>
    </w:p>
    <w:p>
      <w:pPr>
        <w:ind w:firstLine="2800"/>
        <w:rPr>
          <w:rFonts w:eastAsia="Times New Roman"/>
          <w:lang w:val="es-ES" w:eastAsia="es-ES"/>
        </w:rPr>
      </w:pPr>
    </w:p>
    <w:p>
      <w:pPr>
        <w:ind w:firstLine="2800"/>
        <w:rPr>
          <w:rFonts w:eastAsia="Times New Roman"/>
          <w:lang w:val="es-ES" w:eastAsia="es-ES"/>
        </w:rPr>
      </w:pPr>
      <w:r>
        <w:rPr>
          <w:rFonts w:eastAsia="Times New Roman"/>
          <w:lang w:val="es-ES" w:eastAsia="es-ES"/>
        </w:rPr>
        <w:t>b) Horas extraordinarias al año por un monto de $171.540 miles.</w:t>
      </w:r>
    </w:p>
    <w:p>
      <w:pPr>
        <w:ind w:firstLine="2800"/>
        <w:rPr>
          <w:rFonts w:eastAsia="Times New Roman"/>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c) Autorización máxima para gastos en viáticos, en territorio nacional de $350.069 miles y de $34.295 miles en el exterior.</w:t>
      </w:r>
    </w:p>
    <w:p>
      <w:pPr>
        <w:ind w:firstLine="2800"/>
        <w:rPr>
          <w:rFonts w:eastAsia="Times New Roman"/>
          <w:lang w:val="es-ES" w:eastAsia="es-ES"/>
        </w:rPr>
      </w:pPr>
    </w:p>
    <w:p>
      <w:pPr>
        <w:ind w:firstLine="2800"/>
        <w:rPr>
          <w:rFonts w:eastAsia="Times New Roman"/>
          <w:lang w:val="es-ES" w:eastAsia="es-ES"/>
        </w:rPr>
      </w:pPr>
      <w:r>
        <w:rPr>
          <w:rFonts w:eastAsia="Times New Roman"/>
          <w:lang w:val="es-ES" w:eastAsia="es-ES"/>
        </w:rPr>
        <w:t>d) Convenios con personas naturales: número de personas 42, por $447.549 miles.</w:t>
      </w:r>
    </w:p>
    <w:p>
      <w:pPr>
        <w:ind w:firstLine="2800"/>
        <w:rPr>
          <w:rFonts w:eastAsia="Times New Roman"/>
          <w:lang w:val="es-ES" w:eastAsia="es-ES"/>
        </w:rPr>
      </w:pPr>
    </w:p>
    <w:p>
      <w:pPr>
        <w:ind w:firstLine="2800"/>
        <w:rPr>
          <w:rFonts w:eastAsia="Times New Roman"/>
          <w:lang w:val="es-ES" w:eastAsia="es-ES"/>
        </w:rPr>
      </w:pPr>
      <w:r>
        <w:rPr>
          <w:rFonts w:eastAsia="Times New Roman"/>
          <w:lang w:val="es-ES" w:eastAsia="es-ES"/>
        </w:rPr>
        <w:t xml:space="preserve">Incluye $217.785 miles para contratar 9 profesionales que se desempeñen como coordinadores en la implementación </w:t>
      </w:r>
      <w:r>
        <w:rPr>
          <w:rFonts w:eastAsia="Times New Roman"/>
          <w:lang w:val="es-ES" w:eastAsia="es-ES"/>
        </w:rPr>
        <w:lastRenderedPageBreak/>
        <w:t>de los centros deportivos integrales, los que tendrán la calidad de agentes públicos, para todos los efectos legales.</w:t>
      </w:r>
    </w:p>
    <w:p>
      <w:pPr>
        <w:ind w:firstLine="2800"/>
        <w:rPr>
          <w:rFonts w:eastAsia="Times New Roman"/>
          <w:lang w:val="es-ES" w:eastAsia="es-ES"/>
        </w:rPr>
      </w:pPr>
    </w:p>
    <w:p>
      <w:pPr>
        <w:ind w:firstLine="2800"/>
        <w:rPr>
          <w:rFonts w:eastAsia="Times New Roman"/>
          <w:lang w:val="es-ES" w:eastAsia="es-ES"/>
        </w:rPr>
      </w:pPr>
      <w:r>
        <w:rPr>
          <w:rFonts w:eastAsia="Times New Roman"/>
          <w:lang w:val="es-ES" w:eastAsia="es-ES"/>
        </w:rPr>
        <w:t>e) Autorización máxima para cumplimiento del artículo septuagésimo tercero de la ley N° 19.882, asignación por funciones críticas: número de personas 12 y un monto de $103.385 miles.</w:t>
      </w:r>
    </w:p>
    <w:p>
      <w:pPr>
        <w:ind w:firstLine="2800"/>
        <w:rPr>
          <w:rFonts w:eastAsia="Times New Roman"/>
          <w:lang w:val="es-ES" w:eastAsia="es-ES"/>
        </w:rPr>
      </w:pPr>
    </w:p>
    <w:p>
      <w:pPr>
        <w:ind w:firstLine="2800"/>
        <w:rPr>
          <w:rFonts w:eastAsia="Times New Roman"/>
          <w:lang w:val="es-ES" w:eastAsia="es-ES"/>
        </w:rPr>
      </w:pPr>
      <w:r>
        <w:rPr>
          <w:rFonts w:eastAsia="Times New Roman"/>
          <w:lang w:val="es-ES" w:eastAsia="es-ES"/>
        </w:rPr>
        <w:t>La Glosa 05 referida al Subtítulo 22 Bienes y Servicios de Consumo, incluye un monto de $87.703 miles por concepto de capacitación y perfeccionamiento, ley N° 18.575.</w:t>
      </w:r>
    </w:p>
    <w:p>
      <w:pPr>
        <w:ind w:firstLine="2800"/>
        <w:rPr>
          <w:rFonts w:eastAsia="Times New Roman"/>
          <w:lang w:val="es-ES" w:eastAsia="es-ES"/>
        </w:rPr>
      </w:pPr>
    </w:p>
    <w:p>
      <w:pPr>
        <w:ind w:firstLine="2800"/>
        <w:rPr>
          <w:rFonts w:eastAsia="Times New Roman"/>
          <w:lang w:val="es-ES" w:eastAsia="es-ES"/>
        </w:rPr>
      </w:pPr>
      <w:r>
        <w:rPr>
          <w:rFonts w:eastAsia="Times New Roman"/>
          <w:lang w:val="es-ES" w:eastAsia="es-ES"/>
        </w:rPr>
        <w:t>La Glosa 06 asociada a los Subtítulos 24 y 33 establece que la individualización de los proyectos beneficiados con estos recursos y de las personas o entidades ejecutoras, los montos asignados, la modalidad de asignación, su distribución por comuna y región, y el vencimiento de las garantías otorgadas para su fiel cumplimiento, se informarán trimestralmente a través de la página web del Instituto Nacional de Deportes.</w:t>
      </w:r>
    </w:p>
    <w:p>
      <w:pPr>
        <w:ind w:firstLine="2800"/>
        <w:rPr>
          <w:rFonts w:eastAsia="Times New Roman"/>
          <w:lang w:val="es-ES" w:eastAsia="es-ES"/>
        </w:rPr>
      </w:pPr>
    </w:p>
    <w:p>
      <w:pPr>
        <w:ind w:firstLine="2800"/>
        <w:rPr>
          <w:rFonts w:eastAsia="Times New Roman"/>
          <w:lang w:val="es-ES" w:eastAsia="es-ES"/>
        </w:rPr>
      </w:pPr>
      <w:r>
        <w:rPr>
          <w:rFonts w:eastAsia="Times New Roman"/>
          <w:lang w:val="es-ES" w:eastAsia="es-ES"/>
        </w:rPr>
        <w:t>Además, dicha información deberá remitirse electrónicamente a la Comisión Especial Mixta de Presupuestos y a la Comisión de Deportes y Recreación de la Cámara de Diputados, en igual periodicidad.</w:t>
      </w:r>
    </w:p>
    <w:p>
      <w:pPr>
        <w:ind w:firstLine="2800"/>
        <w:rPr>
          <w:rFonts w:eastAsia="Times New Roman"/>
          <w:lang w:val="es-ES" w:eastAsia="es-ES"/>
        </w:rPr>
      </w:pPr>
    </w:p>
    <w:p>
      <w:pPr>
        <w:ind w:firstLine="2800"/>
        <w:rPr>
          <w:rFonts w:eastAsia="Times New Roman"/>
          <w:lang w:val="es-ES" w:eastAsia="es-ES"/>
        </w:rPr>
      </w:pPr>
      <w:r>
        <w:rPr>
          <w:rFonts w:eastAsia="Times New Roman"/>
          <w:lang w:val="es-ES" w:eastAsia="es-ES"/>
        </w:rPr>
        <w:t>La Glosa 07 asociada a las Asignaciones 337, 359, 361, 365, 367, 057, 060 y 061, prescribe que mediante resolución fundada del Instituto Nacional de Deportes, con visación de la Dirección de Presupuestos, se establecerán los criterios de distribución de estos recursos. Entre estos criterios se deberán contemplar focalización, que los programas tengan alta cobertura demográfica, la vulnerabilidad social, la disponibilidad de infraestructura deportiva, la viabilidad técnica y económica, y la concordancia con las políticas deportivas definidas. Además, se considerará su aporte al fortalecimiento de la educación pública y al entorno de escuelas y liceos.</w:t>
      </w:r>
    </w:p>
    <w:p>
      <w:pPr>
        <w:ind w:firstLine="2800"/>
        <w:rPr>
          <w:rFonts w:eastAsia="Times New Roman"/>
          <w:lang w:val="es-ES" w:eastAsia="es-ES"/>
        </w:rPr>
      </w:pPr>
    </w:p>
    <w:p>
      <w:pPr>
        <w:ind w:firstLine="2800"/>
        <w:rPr>
          <w:rFonts w:eastAsia="Times New Roman"/>
          <w:lang w:val="es-ES" w:eastAsia="es-ES"/>
        </w:rPr>
      </w:pPr>
      <w:r>
        <w:rPr>
          <w:rFonts w:eastAsia="Times New Roman"/>
          <w:lang w:val="es-ES" w:eastAsia="es-ES"/>
        </w:rPr>
        <w:t>Con cargo a estos recursos se podrán financiar todo tipo de gastos, incluso de personal, estrictamente necesarios para la ejecución de los programas.</w:t>
      </w:r>
    </w:p>
    <w:p>
      <w:pPr>
        <w:ind w:firstLine="2800"/>
        <w:rPr>
          <w:rFonts w:eastAsia="Times New Roman"/>
          <w:lang w:val="es-ES" w:eastAsia="es-ES"/>
        </w:rPr>
      </w:pPr>
    </w:p>
    <w:p>
      <w:pPr>
        <w:ind w:firstLine="2800"/>
        <w:rPr>
          <w:rFonts w:eastAsia="Times New Roman"/>
          <w:lang w:val="es-ES" w:eastAsia="es-ES"/>
        </w:rPr>
      </w:pPr>
      <w:r>
        <w:rPr>
          <w:rFonts w:eastAsia="Times New Roman"/>
          <w:lang w:val="es-ES" w:eastAsia="es-ES"/>
        </w:rPr>
        <w:t>El gasto en personal incluye el siguiente detalle:</w:t>
      </w:r>
    </w:p>
    <w:p>
      <w:pPr>
        <w:ind w:firstLine="2800"/>
        <w:rPr>
          <w:rFonts w:eastAsia="Times New Roman"/>
          <w:lang w:val="es-ES" w:eastAsia="es-ES"/>
        </w:rPr>
      </w:pPr>
    </w:p>
    <w:p>
      <w:pPr>
        <w:ind w:firstLine="0"/>
        <w:rPr>
          <w:rFonts w:eastAsia="Times New Roman"/>
          <w:lang w:val="es-ES" w:eastAsia="es-ES"/>
        </w:rPr>
      </w:pPr>
      <w:r>
        <w:rPr>
          <w:rFonts w:eastAsia="Times New Roman"/>
          <w:lang w:val="es-ES" w:eastAsia="es-ES"/>
        </w:rPr>
        <w:tab/>
      </w:r>
      <w:r>
        <w:rPr>
          <w:rFonts w:eastAsia="Times New Roman"/>
          <w:lang w:val="es-ES" w:eastAsia="es-ES"/>
        </w:rPr>
        <w:tab/>
      </w:r>
      <w:r>
        <w:rPr>
          <w:rFonts w:eastAsia="Times New Roman"/>
          <w:lang w:val="es-ES" w:eastAsia="es-ES"/>
        </w:rPr>
        <w:tab/>
      </w:r>
      <w:r>
        <w:rPr>
          <w:rFonts w:eastAsia="Times New Roman"/>
          <w:lang w:val="es-ES" w:eastAsia="es-ES"/>
        </w:rPr>
        <w:tab/>
      </w:r>
      <w:r>
        <w:rPr>
          <w:rFonts w:eastAsia="Times New Roman"/>
          <w:lang w:val="es-ES" w:eastAsia="es-ES"/>
        </w:rPr>
        <w:tab/>
        <w:t>Número de personas</w:t>
      </w:r>
      <w:r>
        <w:rPr>
          <w:rFonts w:eastAsia="Times New Roman"/>
          <w:lang w:val="es-ES" w:eastAsia="es-ES"/>
        </w:rPr>
        <w:tab/>
        <w:t>Miles</w:t>
      </w:r>
    </w:p>
    <w:p>
      <w:pPr>
        <w:ind w:firstLine="0"/>
        <w:rPr>
          <w:rFonts w:eastAsia="Times New Roman"/>
          <w:lang w:val="es-ES" w:eastAsia="es-ES"/>
        </w:rPr>
      </w:pPr>
    </w:p>
    <w:p>
      <w:pPr>
        <w:ind w:firstLine="0"/>
        <w:rPr>
          <w:rFonts w:eastAsia="Times New Roman"/>
          <w:lang w:val="es-ES" w:eastAsia="es-ES"/>
        </w:rPr>
      </w:pPr>
      <w:r>
        <w:rPr>
          <w:rFonts w:eastAsia="Times New Roman"/>
          <w:lang w:val="es-ES" w:eastAsia="es-ES"/>
        </w:rPr>
        <w:t>- Liderazgo Deportivo Nacional</w:t>
      </w:r>
      <w:r>
        <w:rPr>
          <w:rFonts w:eastAsia="Times New Roman"/>
          <w:lang w:val="es-ES" w:eastAsia="es-ES"/>
        </w:rPr>
        <w:tab/>
      </w:r>
      <w:r>
        <w:rPr>
          <w:rFonts w:eastAsia="Times New Roman"/>
          <w:lang w:val="es-ES" w:eastAsia="es-ES"/>
        </w:rPr>
        <w:tab/>
      </w:r>
      <w:r>
        <w:rPr>
          <w:rFonts w:eastAsia="Times New Roman"/>
          <w:lang w:val="es-ES" w:eastAsia="es-ES"/>
        </w:rPr>
        <w:tab/>
      </w:r>
      <w:r>
        <w:rPr>
          <w:rFonts w:eastAsia="Times New Roman"/>
          <w:lang w:val="es-ES" w:eastAsia="es-ES"/>
        </w:rPr>
        <w:tab/>
        <w:t xml:space="preserve">41 </w:t>
      </w:r>
      <w:r>
        <w:rPr>
          <w:rFonts w:eastAsia="Times New Roman"/>
          <w:lang w:val="es-ES" w:eastAsia="es-ES"/>
        </w:rPr>
        <w:tab/>
        <w:t>$525.683</w:t>
      </w:r>
    </w:p>
    <w:p>
      <w:pPr>
        <w:ind w:firstLine="0"/>
        <w:rPr>
          <w:rFonts w:eastAsia="Times New Roman"/>
          <w:lang w:val="es-ES" w:eastAsia="es-ES"/>
        </w:rPr>
      </w:pPr>
      <w:r>
        <w:rPr>
          <w:rFonts w:eastAsia="Times New Roman"/>
          <w:lang w:val="es-ES" w:eastAsia="es-ES"/>
        </w:rPr>
        <w:t xml:space="preserve">- Sistema Nacional de Competencias Deportivas  </w:t>
      </w:r>
      <w:r>
        <w:rPr>
          <w:rFonts w:eastAsia="Times New Roman"/>
          <w:lang w:val="es-ES" w:eastAsia="es-ES"/>
        </w:rPr>
        <w:tab/>
        <w:t xml:space="preserve">81  </w:t>
      </w:r>
      <w:r>
        <w:rPr>
          <w:rFonts w:eastAsia="Times New Roman"/>
          <w:lang w:val="es-ES" w:eastAsia="es-ES"/>
        </w:rPr>
        <w:tab/>
        <w:t>$298.189</w:t>
      </w:r>
    </w:p>
    <w:p>
      <w:pPr>
        <w:ind w:firstLine="0"/>
        <w:rPr>
          <w:rFonts w:eastAsia="Times New Roman"/>
          <w:lang w:val="es-ES" w:eastAsia="es-ES"/>
        </w:rPr>
      </w:pPr>
      <w:r>
        <w:rPr>
          <w:rFonts w:eastAsia="Times New Roman"/>
          <w:lang w:val="es-ES" w:eastAsia="es-ES"/>
        </w:rPr>
        <w:t xml:space="preserve">- Programa de Normalización de </w:t>
      </w:r>
    </w:p>
    <w:p>
      <w:pPr>
        <w:ind w:firstLine="0"/>
        <w:rPr>
          <w:rFonts w:eastAsia="Times New Roman"/>
          <w:lang w:val="es-ES" w:eastAsia="es-ES"/>
        </w:rPr>
      </w:pPr>
      <w:r>
        <w:rPr>
          <w:rFonts w:eastAsia="Times New Roman"/>
          <w:lang w:val="es-ES" w:eastAsia="es-ES"/>
        </w:rPr>
        <w:t xml:space="preserve">  Infraestructura Deportiva </w:t>
      </w:r>
      <w:r>
        <w:rPr>
          <w:rFonts w:eastAsia="Times New Roman"/>
          <w:lang w:val="es-ES" w:eastAsia="es-ES"/>
        </w:rPr>
        <w:tab/>
      </w:r>
      <w:r>
        <w:rPr>
          <w:rFonts w:eastAsia="Times New Roman"/>
          <w:lang w:val="es-ES" w:eastAsia="es-ES"/>
        </w:rPr>
        <w:tab/>
      </w:r>
      <w:r>
        <w:rPr>
          <w:rFonts w:eastAsia="Times New Roman"/>
          <w:lang w:val="es-ES" w:eastAsia="es-ES"/>
        </w:rPr>
        <w:tab/>
        <w:t xml:space="preserve">        </w:t>
      </w:r>
      <w:r>
        <w:rPr>
          <w:rFonts w:eastAsia="Times New Roman"/>
          <w:lang w:val="es-ES" w:eastAsia="es-ES"/>
        </w:rPr>
        <w:tab/>
        <w:t>16</w:t>
      </w:r>
      <w:r>
        <w:rPr>
          <w:rFonts w:eastAsia="Times New Roman"/>
          <w:lang w:val="es-ES" w:eastAsia="es-ES"/>
        </w:rPr>
        <w:tab/>
        <w:t>$99.478</w:t>
      </w:r>
    </w:p>
    <w:p>
      <w:pPr>
        <w:ind w:firstLine="0"/>
        <w:rPr>
          <w:rFonts w:eastAsia="Times New Roman"/>
          <w:lang w:val="es-ES" w:eastAsia="es-ES"/>
        </w:rPr>
      </w:pPr>
      <w:r>
        <w:rPr>
          <w:rFonts w:eastAsia="Times New Roman"/>
          <w:lang w:val="es-ES" w:eastAsia="es-ES"/>
        </w:rPr>
        <w:t>- Sistema Nacional de Capacitación y</w:t>
      </w:r>
    </w:p>
    <w:p>
      <w:pPr>
        <w:ind w:firstLine="0"/>
        <w:rPr>
          <w:rFonts w:eastAsia="Times New Roman"/>
          <w:lang w:val="es-ES" w:eastAsia="es-ES"/>
        </w:rPr>
      </w:pPr>
      <w:r>
        <w:rPr>
          <w:rFonts w:eastAsia="Times New Roman"/>
          <w:lang w:val="es-ES" w:eastAsia="es-ES"/>
        </w:rPr>
        <w:t xml:space="preserve">  Acreditación Deportiva </w:t>
      </w:r>
      <w:r>
        <w:rPr>
          <w:rFonts w:eastAsia="Times New Roman"/>
          <w:lang w:val="es-ES" w:eastAsia="es-ES"/>
        </w:rPr>
        <w:tab/>
      </w:r>
      <w:r>
        <w:rPr>
          <w:rFonts w:eastAsia="Times New Roman"/>
          <w:lang w:val="es-ES" w:eastAsia="es-ES"/>
        </w:rPr>
        <w:tab/>
      </w:r>
      <w:r>
        <w:rPr>
          <w:rFonts w:eastAsia="Times New Roman"/>
          <w:lang w:val="es-ES" w:eastAsia="es-ES"/>
        </w:rPr>
        <w:tab/>
      </w:r>
      <w:r>
        <w:rPr>
          <w:rFonts w:eastAsia="Times New Roman"/>
          <w:lang w:val="es-ES" w:eastAsia="es-ES"/>
        </w:rPr>
        <w:tab/>
        <w:t xml:space="preserve">        </w:t>
      </w:r>
      <w:r>
        <w:rPr>
          <w:rFonts w:eastAsia="Times New Roman"/>
          <w:lang w:val="es-ES" w:eastAsia="es-ES"/>
        </w:rPr>
        <w:tab/>
        <w:t>23</w:t>
      </w:r>
      <w:r>
        <w:rPr>
          <w:rFonts w:eastAsia="Times New Roman"/>
          <w:lang w:val="es-ES" w:eastAsia="es-ES"/>
        </w:rPr>
        <w:tab/>
        <w:t>$83.315</w:t>
      </w:r>
    </w:p>
    <w:p>
      <w:pPr>
        <w:ind w:firstLine="0"/>
        <w:rPr>
          <w:rFonts w:eastAsia="Times New Roman"/>
          <w:lang w:val="es-ES" w:eastAsia="es-ES"/>
        </w:rPr>
      </w:pPr>
      <w:r>
        <w:rPr>
          <w:rFonts w:eastAsia="Times New Roman"/>
          <w:lang w:val="es-ES" w:eastAsia="es-ES"/>
        </w:rPr>
        <w:t xml:space="preserve">- Operación Centros Deportivos Integrales </w:t>
      </w:r>
      <w:r>
        <w:rPr>
          <w:rFonts w:eastAsia="Times New Roman"/>
          <w:lang w:val="es-ES" w:eastAsia="es-ES"/>
        </w:rPr>
        <w:tab/>
        <w:t xml:space="preserve">        </w:t>
      </w:r>
      <w:r>
        <w:rPr>
          <w:rFonts w:eastAsia="Times New Roman"/>
          <w:lang w:val="es-ES" w:eastAsia="es-ES"/>
        </w:rPr>
        <w:tab/>
        <w:t>78</w:t>
      </w:r>
      <w:r>
        <w:rPr>
          <w:rFonts w:eastAsia="Times New Roman"/>
          <w:lang w:val="es-ES" w:eastAsia="es-ES"/>
        </w:rPr>
        <w:tab/>
        <w:t>$82.244</w:t>
      </w:r>
    </w:p>
    <w:p>
      <w:pPr>
        <w:ind w:firstLine="0"/>
        <w:rPr>
          <w:rFonts w:eastAsia="Times New Roman"/>
          <w:lang w:val="es-ES" w:eastAsia="es-ES"/>
        </w:rPr>
      </w:pPr>
      <w:r>
        <w:rPr>
          <w:rFonts w:eastAsia="Times New Roman"/>
          <w:lang w:val="es-ES" w:eastAsia="es-ES"/>
        </w:rPr>
        <w:t xml:space="preserve">- Deporte Participación Público </w:t>
      </w:r>
      <w:r>
        <w:rPr>
          <w:rFonts w:eastAsia="Times New Roman"/>
          <w:lang w:val="es-ES" w:eastAsia="es-ES"/>
        </w:rPr>
        <w:tab/>
      </w:r>
      <w:r>
        <w:rPr>
          <w:rFonts w:eastAsia="Times New Roman"/>
          <w:lang w:val="es-ES" w:eastAsia="es-ES"/>
        </w:rPr>
        <w:tab/>
      </w:r>
      <w:r>
        <w:rPr>
          <w:rFonts w:eastAsia="Times New Roman"/>
          <w:lang w:val="es-ES" w:eastAsia="es-ES"/>
        </w:rPr>
        <w:tab/>
        <w:t xml:space="preserve">      </w:t>
      </w:r>
      <w:r>
        <w:rPr>
          <w:rFonts w:eastAsia="Times New Roman"/>
          <w:lang w:val="es-ES" w:eastAsia="es-ES"/>
        </w:rPr>
        <w:tab/>
        <w:t>56</w:t>
      </w:r>
      <w:r>
        <w:rPr>
          <w:rFonts w:eastAsia="Times New Roman"/>
          <w:lang w:val="es-ES" w:eastAsia="es-ES"/>
        </w:rPr>
        <w:tab/>
        <w:t>$465.083</w:t>
      </w:r>
    </w:p>
    <w:p>
      <w:pPr>
        <w:ind w:firstLine="0"/>
        <w:rPr>
          <w:rFonts w:eastAsia="Times New Roman"/>
          <w:lang w:val="es-ES" w:eastAsia="es-ES"/>
        </w:rPr>
      </w:pPr>
      <w:r>
        <w:rPr>
          <w:rFonts w:eastAsia="Times New Roman"/>
          <w:lang w:val="es-ES" w:eastAsia="es-ES"/>
        </w:rPr>
        <w:t xml:space="preserve">- Recintos en Movimiento </w:t>
      </w:r>
      <w:r>
        <w:rPr>
          <w:rFonts w:eastAsia="Times New Roman"/>
          <w:lang w:val="es-ES" w:eastAsia="es-ES"/>
        </w:rPr>
        <w:tab/>
      </w:r>
      <w:r>
        <w:rPr>
          <w:rFonts w:eastAsia="Times New Roman"/>
          <w:lang w:val="es-ES" w:eastAsia="es-ES"/>
        </w:rPr>
        <w:tab/>
      </w:r>
      <w:r>
        <w:rPr>
          <w:rFonts w:eastAsia="Times New Roman"/>
          <w:lang w:val="es-ES" w:eastAsia="es-ES"/>
        </w:rPr>
        <w:tab/>
      </w:r>
      <w:r>
        <w:rPr>
          <w:rFonts w:eastAsia="Times New Roman"/>
          <w:lang w:val="es-ES" w:eastAsia="es-ES"/>
        </w:rPr>
        <w:tab/>
        <w:t xml:space="preserve">        </w:t>
      </w:r>
      <w:r>
        <w:rPr>
          <w:rFonts w:eastAsia="Times New Roman"/>
          <w:lang w:val="es-ES" w:eastAsia="es-ES"/>
        </w:rPr>
        <w:tab/>
        <w:t>20</w:t>
      </w:r>
      <w:r>
        <w:rPr>
          <w:rFonts w:eastAsia="Times New Roman"/>
          <w:lang w:val="es-ES" w:eastAsia="es-ES"/>
        </w:rPr>
        <w:tab/>
        <w:t>$128.418</w:t>
      </w:r>
    </w:p>
    <w:p>
      <w:pPr>
        <w:ind w:firstLine="0"/>
        <w:rPr>
          <w:rFonts w:eastAsia="Times New Roman"/>
          <w:lang w:val="es-ES" w:eastAsia="es-ES"/>
        </w:rPr>
      </w:pPr>
      <w:r>
        <w:rPr>
          <w:rFonts w:eastAsia="Times New Roman"/>
          <w:lang w:val="es-ES" w:eastAsia="es-ES"/>
        </w:rPr>
        <w:lastRenderedPageBreak/>
        <w:t xml:space="preserve">- Escuelas Deportivas Integrales </w:t>
      </w:r>
      <w:r>
        <w:rPr>
          <w:rFonts w:eastAsia="Times New Roman"/>
          <w:lang w:val="es-ES" w:eastAsia="es-ES"/>
        </w:rPr>
        <w:tab/>
      </w:r>
      <w:r>
        <w:rPr>
          <w:rFonts w:eastAsia="Times New Roman"/>
          <w:lang w:val="es-ES" w:eastAsia="es-ES"/>
        </w:rPr>
        <w:tab/>
      </w:r>
      <w:r>
        <w:rPr>
          <w:rFonts w:eastAsia="Times New Roman"/>
          <w:lang w:val="es-ES" w:eastAsia="es-ES"/>
        </w:rPr>
        <w:tab/>
        <w:t xml:space="preserve">        </w:t>
      </w:r>
      <w:r>
        <w:rPr>
          <w:rFonts w:eastAsia="Times New Roman"/>
          <w:lang w:val="es-ES" w:eastAsia="es-ES"/>
        </w:rPr>
        <w:tab/>
        <w:t>150</w:t>
      </w:r>
      <w:r>
        <w:rPr>
          <w:rFonts w:eastAsia="Times New Roman"/>
          <w:lang w:val="es-ES" w:eastAsia="es-ES"/>
        </w:rPr>
        <w:tab/>
        <w:t>$739.314</w:t>
      </w:r>
    </w:p>
    <w:p>
      <w:pPr>
        <w:ind w:firstLine="2800"/>
        <w:rPr>
          <w:rFonts w:eastAsia="Times New Roman"/>
          <w:lang w:val="es-ES" w:eastAsia="es-ES"/>
        </w:rPr>
      </w:pPr>
    </w:p>
    <w:p>
      <w:pPr>
        <w:ind w:firstLine="2800"/>
        <w:rPr>
          <w:rFonts w:eastAsia="Times New Roman"/>
          <w:lang w:val="es-ES" w:eastAsia="es-ES"/>
        </w:rPr>
      </w:pPr>
    </w:p>
    <w:p>
      <w:pPr>
        <w:ind w:firstLine="2800"/>
        <w:rPr>
          <w:rFonts w:eastAsia="Times New Roman"/>
          <w:lang w:val="es-ES" w:eastAsia="es-ES"/>
        </w:rPr>
      </w:pPr>
      <w:r>
        <w:rPr>
          <w:rFonts w:eastAsia="Times New Roman"/>
          <w:lang w:val="es-ES" w:eastAsia="es-ES"/>
        </w:rPr>
        <w:t>Además, incluye personal especializado para actividades deportivas específicas de los siguientes programas:</w:t>
      </w:r>
    </w:p>
    <w:p>
      <w:pPr>
        <w:ind w:firstLine="2800"/>
        <w:rPr>
          <w:rFonts w:eastAsia="Times New Roman"/>
          <w:lang w:val="es-ES" w:eastAsia="es-ES"/>
        </w:rPr>
      </w:pPr>
    </w:p>
    <w:p>
      <w:pPr>
        <w:ind w:firstLine="2800"/>
        <w:rPr>
          <w:rFonts w:eastAsia="Times New Roman"/>
          <w:lang w:val="es-ES" w:eastAsia="es-ES"/>
        </w:rPr>
      </w:pPr>
    </w:p>
    <w:p>
      <w:pPr>
        <w:ind w:firstLine="0"/>
        <w:rPr>
          <w:rFonts w:eastAsia="Times New Roman"/>
          <w:lang w:val="es-ES" w:eastAsia="es-ES"/>
        </w:rPr>
      </w:pPr>
      <w:r>
        <w:rPr>
          <w:rFonts w:eastAsia="Times New Roman"/>
          <w:lang w:val="es-ES" w:eastAsia="es-ES"/>
        </w:rPr>
        <w:tab/>
      </w:r>
      <w:r>
        <w:rPr>
          <w:rFonts w:eastAsia="Times New Roman"/>
          <w:lang w:val="es-ES" w:eastAsia="es-ES"/>
        </w:rPr>
        <w:tab/>
      </w:r>
      <w:r>
        <w:rPr>
          <w:rFonts w:eastAsia="Times New Roman"/>
          <w:lang w:val="es-ES" w:eastAsia="es-ES"/>
        </w:rPr>
        <w:tab/>
      </w:r>
      <w:r>
        <w:rPr>
          <w:rFonts w:eastAsia="Times New Roman"/>
          <w:lang w:val="es-ES" w:eastAsia="es-ES"/>
        </w:rPr>
        <w:tab/>
      </w:r>
      <w:r>
        <w:rPr>
          <w:rFonts w:eastAsia="Times New Roman"/>
          <w:lang w:val="es-ES" w:eastAsia="es-ES"/>
        </w:rPr>
        <w:tab/>
        <w:t>Número de personas</w:t>
      </w:r>
      <w:r>
        <w:rPr>
          <w:rFonts w:eastAsia="Times New Roman"/>
          <w:lang w:val="es-ES" w:eastAsia="es-ES"/>
        </w:rPr>
        <w:tab/>
        <w:t xml:space="preserve">   Miles de $</w:t>
      </w:r>
    </w:p>
    <w:p>
      <w:pPr>
        <w:ind w:firstLine="0"/>
        <w:rPr>
          <w:rFonts w:eastAsia="Times New Roman"/>
          <w:lang w:val="es-ES" w:eastAsia="es-ES"/>
        </w:rPr>
      </w:pPr>
    </w:p>
    <w:p>
      <w:pPr>
        <w:ind w:firstLine="0"/>
        <w:rPr>
          <w:rFonts w:eastAsia="Times New Roman"/>
          <w:lang w:val="es-ES" w:eastAsia="es-ES"/>
        </w:rPr>
      </w:pPr>
      <w:r>
        <w:rPr>
          <w:rFonts w:eastAsia="Times New Roman"/>
          <w:lang w:val="es-ES" w:eastAsia="es-ES"/>
        </w:rPr>
        <w:t>- Liderazgo Deportivo Nacional</w:t>
      </w:r>
      <w:r>
        <w:rPr>
          <w:rFonts w:eastAsia="Times New Roman"/>
          <w:lang w:val="es-ES" w:eastAsia="es-ES"/>
        </w:rPr>
        <w:tab/>
      </w:r>
      <w:r>
        <w:rPr>
          <w:rFonts w:eastAsia="Times New Roman"/>
          <w:lang w:val="es-ES" w:eastAsia="es-ES"/>
        </w:rPr>
        <w:tab/>
      </w:r>
      <w:r>
        <w:rPr>
          <w:rFonts w:eastAsia="Times New Roman"/>
          <w:lang w:val="es-ES" w:eastAsia="es-ES"/>
        </w:rPr>
        <w:tab/>
      </w:r>
      <w:r>
        <w:rPr>
          <w:rFonts w:eastAsia="Times New Roman"/>
          <w:lang w:val="es-ES" w:eastAsia="es-ES"/>
        </w:rPr>
        <w:tab/>
        <w:t>265</w:t>
      </w:r>
      <w:r>
        <w:rPr>
          <w:rFonts w:eastAsia="Times New Roman"/>
          <w:lang w:val="es-ES" w:eastAsia="es-ES"/>
        </w:rPr>
        <w:tab/>
        <w:t xml:space="preserve">   $1.540.340</w:t>
      </w:r>
      <w:r>
        <w:rPr>
          <w:rFonts w:eastAsia="Times New Roman"/>
          <w:lang w:val="es-ES" w:eastAsia="es-ES"/>
        </w:rPr>
        <w:tab/>
      </w:r>
    </w:p>
    <w:p>
      <w:pPr>
        <w:ind w:firstLine="0"/>
        <w:rPr>
          <w:rFonts w:eastAsia="Times New Roman"/>
          <w:lang w:val="es-ES" w:eastAsia="es-ES"/>
        </w:rPr>
      </w:pPr>
      <w:r>
        <w:rPr>
          <w:rFonts w:eastAsia="Times New Roman"/>
          <w:lang w:val="es-ES" w:eastAsia="es-ES"/>
        </w:rPr>
        <w:t>- Sistema Nacional de Competencias Deportivas</w:t>
      </w:r>
      <w:r>
        <w:rPr>
          <w:rFonts w:eastAsia="Times New Roman"/>
          <w:lang w:val="es-ES" w:eastAsia="es-ES"/>
        </w:rPr>
        <w:tab/>
        <w:t>5.250</w:t>
      </w:r>
      <w:r>
        <w:rPr>
          <w:rFonts w:eastAsia="Times New Roman"/>
          <w:lang w:val="es-ES" w:eastAsia="es-ES"/>
        </w:rPr>
        <w:tab/>
        <w:t xml:space="preserve">   $1.720.336</w:t>
      </w:r>
    </w:p>
    <w:p>
      <w:pPr>
        <w:ind w:firstLine="0"/>
        <w:rPr>
          <w:rFonts w:eastAsia="Times New Roman"/>
          <w:lang w:val="es-ES" w:eastAsia="es-ES"/>
        </w:rPr>
      </w:pPr>
      <w:r>
        <w:rPr>
          <w:rFonts w:eastAsia="Times New Roman"/>
          <w:lang w:val="es-ES" w:eastAsia="es-ES"/>
        </w:rPr>
        <w:t>- Deporte Participación Público</w:t>
      </w:r>
      <w:r>
        <w:rPr>
          <w:rFonts w:eastAsia="Times New Roman"/>
          <w:lang w:val="es-ES" w:eastAsia="es-ES"/>
        </w:rPr>
        <w:tab/>
      </w:r>
      <w:r>
        <w:rPr>
          <w:rFonts w:eastAsia="Times New Roman"/>
          <w:lang w:val="es-ES" w:eastAsia="es-ES"/>
        </w:rPr>
        <w:tab/>
      </w:r>
      <w:r>
        <w:rPr>
          <w:rFonts w:eastAsia="Times New Roman"/>
          <w:lang w:val="es-ES" w:eastAsia="es-ES"/>
        </w:rPr>
        <w:tab/>
      </w:r>
      <w:r>
        <w:rPr>
          <w:rFonts w:eastAsia="Times New Roman"/>
          <w:lang w:val="es-ES" w:eastAsia="es-ES"/>
        </w:rPr>
        <w:tab/>
        <w:t>7.268</w:t>
      </w:r>
      <w:r>
        <w:rPr>
          <w:rFonts w:eastAsia="Times New Roman"/>
          <w:lang w:val="es-ES" w:eastAsia="es-ES"/>
        </w:rPr>
        <w:tab/>
        <w:t xml:space="preserve">   $4.080.335</w:t>
      </w:r>
    </w:p>
    <w:p>
      <w:pPr>
        <w:ind w:firstLine="0"/>
        <w:rPr>
          <w:rFonts w:eastAsia="Times New Roman"/>
          <w:lang w:val="es-ES" w:eastAsia="es-ES"/>
        </w:rPr>
      </w:pPr>
      <w:r>
        <w:rPr>
          <w:rFonts w:eastAsia="Times New Roman"/>
          <w:lang w:val="es-ES" w:eastAsia="es-ES"/>
        </w:rPr>
        <w:t>- Escuelas Deportivas Integrales</w:t>
      </w:r>
      <w:r>
        <w:rPr>
          <w:rFonts w:eastAsia="Times New Roman"/>
          <w:lang w:val="es-ES" w:eastAsia="es-ES"/>
        </w:rPr>
        <w:tab/>
      </w:r>
      <w:r>
        <w:rPr>
          <w:rFonts w:eastAsia="Times New Roman"/>
          <w:lang w:val="es-ES" w:eastAsia="es-ES"/>
        </w:rPr>
        <w:tab/>
      </w:r>
      <w:r>
        <w:rPr>
          <w:rFonts w:eastAsia="Times New Roman"/>
          <w:lang w:val="es-ES" w:eastAsia="es-ES"/>
        </w:rPr>
        <w:tab/>
      </w:r>
      <w:r>
        <w:rPr>
          <w:rFonts w:eastAsia="Times New Roman"/>
          <w:lang w:val="es-ES" w:eastAsia="es-ES"/>
        </w:rPr>
        <w:tab/>
        <w:t>5.385</w:t>
      </w:r>
      <w:r>
        <w:rPr>
          <w:rFonts w:eastAsia="Times New Roman"/>
          <w:lang w:val="es-ES" w:eastAsia="es-ES"/>
        </w:rPr>
        <w:tab/>
        <w:t xml:space="preserve">   $4.739.841</w:t>
      </w:r>
    </w:p>
    <w:p>
      <w:pPr>
        <w:ind w:firstLine="0"/>
        <w:rPr>
          <w:rFonts w:eastAsia="Times New Roman"/>
          <w:lang w:val="es-ES" w:eastAsia="es-ES"/>
        </w:rPr>
      </w:pPr>
    </w:p>
    <w:p>
      <w:pPr>
        <w:ind w:firstLine="2800"/>
        <w:rPr>
          <w:rFonts w:eastAsia="Times New Roman"/>
          <w:lang w:val="es-ES" w:eastAsia="es-ES"/>
        </w:rPr>
      </w:pPr>
      <w:r>
        <w:rPr>
          <w:rFonts w:eastAsia="Times New Roman"/>
          <w:lang w:val="es-ES" w:eastAsia="es-ES"/>
        </w:rPr>
        <w:t xml:space="preserve">Las contrataciones nuevas de personal a honorarios deberán realizarse mediante procesos objetivos y preferentemente a través del portal </w:t>
      </w:r>
      <w:hyperlink r:id="rId7" w:history="1">
        <w:r>
          <w:rPr>
            <w:rStyle w:val="Hipervnculo"/>
            <w:rFonts w:eastAsia="Times New Roman"/>
            <w:lang w:val="es-ES" w:eastAsia="es-ES"/>
          </w:rPr>
          <w:t>www.empleospublicos.cl</w:t>
        </w:r>
      </w:hyperlink>
      <w:r>
        <w:rPr>
          <w:rFonts w:eastAsia="Times New Roman"/>
          <w:lang w:val="es-ES" w:eastAsia="es-ES"/>
        </w:rPr>
        <w:t>. La nómina de personas contratadas en cada programa, así como el monto de los honorarios que perciban mensualmente, se informará semestralmente a la Comisión Especial Mixta de Presupuestos, por medios electrónicos.</w:t>
      </w:r>
    </w:p>
    <w:p>
      <w:pPr>
        <w:ind w:firstLine="2800"/>
        <w:rPr>
          <w:rFonts w:eastAsia="Times New Roman"/>
          <w:lang w:val="es-ES" w:eastAsia="es-ES"/>
        </w:rPr>
      </w:pPr>
    </w:p>
    <w:p>
      <w:pPr>
        <w:ind w:firstLine="2800"/>
        <w:rPr>
          <w:rFonts w:eastAsia="Times New Roman"/>
          <w:lang w:val="es-ES" w:eastAsia="es-ES"/>
        </w:rPr>
      </w:pPr>
      <w:r>
        <w:rPr>
          <w:rFonts w:eastAsia="Times New Roman"/>
          <w:lang w:val="es-ES" w:eastAsia="es-ES"/>
        </w:rPr>
        <w:t xml:space="preserve">Los demás gastos en activos no financieros y en bienes y servicios, deberán realizarse a través del Sistema de Compras Públicas </w:t>
      </w:r>
      <w:hyperlink r:id="rId8" w:history="1">
        <w:r>
          <w:rPr>
            <w:rStyle w:val="Hipervnculo"/>
            <w:rFonts w:eastAsia="Times New Roman"/>
            <w:lang w:val="es-ES" w:eastAsia="es-ES"/>
          </w:rPr>
          <w:t>www.mercadopublico.cl</w:t>
        </w:r>
      </w:hyperlink>
      <w:r>
        <w:rPr>
          <w:rFonts w:eastAsia="Times New Roman"/>
          <w:lang w:val="es-ES" w:eastAsia="es-ES"/>
        </w:rPr>
        <w:t>.</w:t>
      </w:r>
    </w:p>
    <w:p>
      <w:pPr>
        <w:ind w:firstLine="2800"/>
        <w:rPr>
          <w:rFonts w:eastAsia="Times New Roman"/>
          <w:lang w:val="es-ES" w:eastAsia="es-ES"/>
        </w:rPr>
      </w:pPr>
    </w:p>
    <w:p>
      <w:pPr>
        <w:ind w:firstLine="2800"/>
        <w:rPr>
          <w:rFonts w:eastAsia="Times New Roman"/>
          <w:lang w:val="es-ES" w:eastAsia="es-ES"/>
        </w:rPr>
      </w:pPr>
      <w:r>
        <w:rPr>
          <w:rFonts w:eastAsia="Times New Roman"/>
          <w:lang w:val="es-ES" w:eastAsia="es-ES"/>
        </w:rPr>
        <w:t>Las instituciones receptoras de los recursos, deberán rendir cuenta detallada del uso de éstos, de acuerdo a la forma y oportunidad que fije el Instituto Nacional de Deportes.</w:t>
      </w:r>
    </w:p>
    <w:p>
      <w:pPr>
        <w:ind w:firstLine="2800"/>
        <w:rPr>
          <w:rFonts w:eastAsia="Times New Roman"/>
          <w:lang w:val="es-ES" w:eastAsia="es-ES"/>
        </w:rPr>
      </w:pPr>
    </w:p>
    <w:p>
      <w:pPr>
        <w:ind w:firstLine="2800"/>
        <w:rPr>
          <w:rFonts w:eastAsia="Times New Roman"/>
          <w:lang w:val="es-ES" w:eastAsia="es-ES"/>
        </w:rPr>
      </w:pPr>
      <w:r>
        <w:rPr>
          <w:rFonts w:eastAsia="Times New Roman"/>
          <w:lang w:val="es-ES" w:eastAsia="es-ES"/>
        </w:rPr>
        <w:t>El Instituto Nacional de Deportes informará semestralmente a la Comisión Especial Mixta de Presupuestos de la ejecución detallada de estos programas.</w:t>
      </w:r>
    </w:p>
    <w:p>
      <w:pPr>
        <w:ind w:firstLine="2800"/>
        <w:rPr>
          <w:rFonts w:eastAsia="Times New Roman"/>
          <w:lang w:val="es-ES" w:eastAsia="es-ES"/>
        </w:rPr>
      </w:pPr>
    </w:p>
    <w:p>
      <w:pPr>
        <w:ind w:firstLine="2800"/>
        <w:rPr>
          <w:rFonts w:eastAsia="Times New Roman"/>
          <w:lang w:val="es-ES" w:eastAsia="es-ES"/>
        </w:rPr>
      </w:pPr>
      <w:r>
        <w:rPr>
          <w:rFonts w:eastAsia="Times New Roman"/>
          <w:lang w:val="es-ES" w:eastAsia="es-ES"/>
        </w:rPr>
        <w:t>La Glosa 08 referida a las asignaciones 361, 046 y 060, señala que los profesionales contratados a honorarios a través de este programa, podrán tener la calidad de agentes públicos, para todos los efectos legales.</w:t>
      </w:r>
    </w:p>
    <w:p>
      <w:pPr>
        <w:ind w:firstLine="2800"/>
        <w:rPr>
          <w:rFonts w:eastAsia="Times New Roman"/>
          <w:lang w:val="es-ES" w:eastAsia="es-ES"/>
        </w:rPr>
      </w:pPr>
    </w:p>
    <w:p>
      <w:pPr>
        <w:ind w:firstLine="2800"/>
        <w:rPr>
          <w:rFonts w:eastAsia="Times New Roman"/>
          <w:lang w:val="es-ES" w:eastAsia="es-ES"/>
        </w:rPr>
      </w:pPr>
      <w:r>
        <w:rPr>
          <w:rFonts w:eastAsia="Times New Roman"/>
          <w:lang w:val="es-ES" w:eastAsia="es-ES"/>
        </w:rPr>
        <w:t>La Glosa 09 asociada al Subtítulo 24 Ítem 03 Transferencias Corrientes a Otras Entidades Públicas y al Subtítulo 33 Ítem 03 Transferencias de Capital a Otras Entidades Públicas, establece que los fondos que se transfieran a Organismos del Sector Público no se incorporarán a los presupuestos de éstos. No obstante, dichos Organismos deberán rendir cuenta de estos fondos a la Contraloría General de la República, sin perjuicio de las normas que imparta al respecto el Instituto Nacional de Deportes.</w:t>
      </w:r>
    </w:p>
    <w:p>
      <w:pPr>
        <w:ind w:firstLine="2800"/>
        <w:rPr>
          <w:rFonts w:eastAsia="Times New Roman"/>
          <w:lang w:val="es-ES" w:eastAsia="es-ES"/>
        </w:rPr>
      </w:pPr>
    </w:p>
    <w:p>
      <w:pPr>
        <w:ind w:firstLine="2800"/>
        <w:rPr>
          <w:rFonts w:eastAsia="Times New Roman"/>
          <w:lang w:val="es-ES" w:eastAsia="es-ES"/>
        </w:rPr>
      </w:pPr>
      <w:r>
        <w:rPr>
          <w:rFonts w:eastAsia="Times New Roman"/>
          <w:lang w:val="es-ES" w:eastAsia="es-ES"/>
        </w:rPr>
        <w:t xml:space="preserve">La Glosa 10 vinculada a la Asignación 046 Centros de Alto Rendimiento, incluye gastos de funcionamiento del Centro de Alto Rendimiento (C.A.R.), incluidos gastos en personal profesional especializado en tareas de apoyo deportivo, asimismo incluye gastos del programa </w:t>
      </w:r>
      <w:r>
        <w:rPr>
          <w:rFonts w:eastAsia="Times New Roman"/>
          <w:lang w:val="es-ES" w:eastAsia="es-ES"/>
        </w:rPr>
        <w:lastRenderedPageBreak/>
        <w:t>Funcionamiento Residencia Deportiva. El gasto en personal será de $452.833 miles para financiar un número de hasta 60 personas.</w:t>
      </w:r>
    </w:p>
    <w:p>
      <w:pPr>
        <w:ind w:firstLine="2800"/>
        <w:rPr>
          <w:rFonts w:eastAsia="Times New Roman"/>
          <w:lang w:val="es-ES" w:eastAsia="es-ES"/>
        </w:rPr>
      </w:pPr>
    </w:p>
    <w:p>
      <w:pPr>
        <w:ind w:firstLine="2800"/>
        <w:rPr>
          <w:rFonts w:eastAsia="Times New Roman"/>
          <w:lang w:val="es-ES" w:eastAsia="es-ES"/>
        </w:rPr>
      </w:pPr>
      <w:r>
        <w:rPr>
          <w:rFonts w:eastAsia="Times New Roman"/>
          <w:lang w:val="es-ES" w:eastAsia="es-ES"/>
        </w:rPr>
        <w:t>La Glosa 11 referida al Subtítulo 33 Transferencias de Capital, excluye de la exigencia establecida en el artículo 50 de la ley N° 19.712, del Deporte, la inversión en equipamiento e infraestructura deportiva financiada con recursos del Instituto Nacional de Deportes en los inmuebles que constituyan bienes comunes conformados de acuerdo a las leyes N° 15.020 y N° 16.640, sobre Reforma Agraria y N° 19.253, Ley Indígena, en bienes inmuebles nacionales, sean o no de uso público, y en inmuebles de propiedad del Servicio de Vivienda y Urbanismo. Añade que la certificación para postular proyectos de inversión en estos campos deportivos referida a la posesión y uso de los mismos, podrá extenderla la Municipalidad respectiva.</w:t>
      </w:r>
    </w:p>
    <w:p>
      <w:pPr>
        <w:ind w:firstLine="2800"/>
        <w:rPr>
          <w:rFonts w:eastAsia="Times New Roman"/>
          <w:lang w:val="es-ES" w:eastAsia="es-ES"/>
        </w:rPr>
      </w:pPr>
    </w:p>
    <w:p>
      <w:pPr>
        <w:ind w:firstLine="2800"/>
        <w:rPr>
          <w:rFonts w:eastAsia="Times New Roman"/>
          <w:lang w:val="es-ES" w:eastAsia="es-ES"/>
        </w:rPr>
      </w:pPr>
      <w:r>
        <w:rPr>
          <w:rFonts w:eastAsia="Times New Roman"/>
          <w:lang w:val="es-ES" w:eastAsia="es-ES"/>
        </w:rPr>
        <w:t>La Glosa 12 asociada a la Asignación 002 Aportes para Inversiones en Infraestructura Deportiva, del Ítem 03 Subtítulo 33 Transferencias de Capital A Otras Entidades Públicas, dispone que trimestralmente deberá informarse a la Comisión Especial Mixta de Presupuestos respecto de los recursos asignados a estos proyectos, indicando sus beneficiarios, e individualizando los proyectos regionales incluidos en estas inversiones, precisando si se tratan de obras nuevas o proyectos de arrastre de años anteriores, su estado de avance y plazo de ejecución. La precitada información se remitirá dentro de los treinta días siguientes al término del trimestre respectivo.</w:t>
      </w:r>
    </w:p>
    <w:p>
      <w:pPr>
        <w:tabs>
          <w:tab w:val="left" w:pos="2835"/>
        </w:tabs>
        <w:ind w:firstLine="0"/>
        <w:outlineLvl w:val="0"/>
        <w:rPr>
          <w:rFonts w:eastAsia="Times New Roman"/>
          <w:lang w:val="es-ES" w:eastAsia="es-ES"/>
        </w:rPr>
      </w:pPr>
    </w:p>
    <w:p>
      <w:pPr>
        <w:tabs>
          <w:tab w:val="left" w:pos="2835"/>
        </w:tabs>
        <w:ind w:firstLine="0"/>
        <w:outlineLvl w:val="0"/>
        <w:rPr>
          <w:rFonts w:eastAsia="Times New Roman"/>
          <w:lang w:val="es-ES" w:eastAsia="es-ES"/>
        </w:rPr>
      </w:pPr>
    </w:p>
    <w:p>
      <w:pPr>
        <w:tabs>
          <w:tab w:val="left" w:pos="2835"/>
        </w:tabs>
        <w:ind w:firstLine="0"/>
        <w:jc w:val="center"/>
        <w:outlineLvl w:val="0"/>
        <w:rPr>
          <w:rFonts w:eastAsia="Times New Roman"/>
          <w:lang w:val="es-ES" w:eastAsia="es-ES"/>
        </w:rPr>
      </w:pPr>
      <w:r>
        <w:rPr>
          <w:rFonts w:eastAsia="Times New Roman"/>
          <w:b/>
          <w:lang w:val="es-ES" w:eastAsia="es-ES"/>
        </w:rPr>
        <w:t>Programa 02</w:t>
      </w:r>
    </w:p>
    <w:p>
      <w:pPr>
        <w:tabs>
          <w:tab w:val="left" w:pos="2835"/>
        </w:tabs>
        <w:ind w:firstLine="0"/>
        <w:jc w:val="center"/>
        <w:outlineLvl w:val="0"/>
        <w:rPr>
          <w:rFonts w:eastAsia="Times New Roman"/>
          <w:lang w:val="es-ES" w:eastAsia="es-ES"/>
        </w:rPr>
      </w:pPr>
      <w:r>
        <w:rPr>
          <w:rFonts w:eastAsia="Times New Roman"/>
          <w:b/>
          <w:lang w:val="es-ES" w:eastAsia="es-ES"/>
        </w:rPr>
        <w:t>Fondo Nacional para el Fomento del Deporte</w:t>
      </w:r>
    </w:p>
    <w:p>
      <w:pPr>
        <w:ind w:firstLine="2800"/>
        <w:rPr>
          <w:rFonts w:eastAsia="Times New Roman"/>
          <w:lang w:val="es-ES" w:eastAsia="es-ES"/>
        </w:rPr>
      </w:pPr>
    </w:p>
    <w:p>
      <w:pPr>
        <w:ind w:firstLine="2800"/>
        <w:rPr>
          <w:rFonts w:eastAsia="Times New Roman"/>
          <w:lang w:val="es-ES" w:eastAsia="es-ES"/>
        </w:rPr>
      </w:pPr>
      <w:r>
        <w:rPr>
          <w:rFonts w:eastAsia="Times New Roman"/>
          <w:lang w:val="es-ES" w:eastAsia="es-ES"/>
        </w:rPr>
        <w:t>Los Ingresos de este Fondo alcanzan a $5.505.974 miles y se componen por Transferencias Corrientes $116.714 miles, Otros Ingresos Corrientes $456.930 miles y Aporte Fiscal $4.932.330 miles.</w:t>
      </w:r>
    </w:p>
    <w:p>
      <w:pPr>
        <w:ind w:firstLine="2800"/>
        <w:rPr>
          <w:rFonts w:eastAsia="Times New Roman"/>
          <w:lang w:val="es-ES" w:eastAsia="es-ES"/>
        </w:rPr>
      </w:pPr>
    </w:p>
    <w:p>
      <w:pPr>
        <w:ind w:firstLine="2800"/>
        <w:rPr>
          <w:rFonts w:eastAsia="Times New Roman"/>
          <w:lang w:val="es-ES" w:eastAsia="es-ES"/>
        </w:rPr>
      </w:pPr>
      <w:r>
        <w:rPr>
          <w:rFonts w:eastAsia="Times New Roman"/>
          <w:lang w:val="es-ES" w:eastAsia="es-ES"/>
        </w:rPr>
        <w:t>Los Gastos considerados son $5.505.974 miles, desglosados en Bienes y Servicios de Consumo $267.045 miles, Transferencias Corrientes $4.809.212 miles y Transferencias de Capital $429.717 miles.</w:t>
      </w:r>
    </w:p>
    <w:p>
      <w:pPr>
        <w:ind w:firstLine="2800"/>
        <w:rPr>
          <w:rFonts w:eastAsia="Times New Roman"/>
          <w:lang w:val="es-ES" w:eastAsia="es-ES"/>
        </w:rPr>
      </w:pPr>
    </w:p>
    <w:p>
      <w:pPr>
        <w:ind w:firstLine="2800"/>
        <w:rPr>
          <w:rFonts w:eastAsia="Times New Roman"/>
          <w:lang w:val="es-ES" w:eastAsia="es-ES"/>
        </w:rPr>
      </w:pPr>
      <w:r>
        <w:rPr>
          <w:rFonts w:eastAsia="Times New Roman"/>
          <w:lang w:val="es-ES" w:eastAsia="es-ES"/>
        </w:rPr>
        <w:t>Las Glosas de este programa son las siguientes:</w:t>
      </w:r>
    </w:p>
    <w:p>
      <w:pPr>
        <w:ind w:firstLine="2800"/>
        <w:rPr>
          <w:rFonts w:eastAsia="Times New Roman"/>
          <w:lang w:val="es-ES" w:eastAsia="es-ES"/>
        </w:rPr>
      </w:pPr>
    </w:p>
    <w:p>
      <w:pPr>
        <w:ind w:firstLine="2800"/>
        <w:rPr>
          <w:rFonts w:eastAsia="Times New Roman"/>
          <w:lang w:val="es-ES" w:eastAsia="es-ES"/>
        </w:rPr>
      </w:pPr>
      <w:r>
        <w:rPr>
          <w:rFonts w:eastAsia="Times New Roman"/>
          <w:lang w:val="es-ES" w:eastAsia="es-ES"/>
        </w:rPr>
        <w:t>Glosa 01 asociada al Programa, dispone que estos recursos incluyen la cuota nacional y las cuotas regionales del Fondo Nacional para el Fomento del Deporte, en cumplimiento del artículo 45 de la ley N° 19.712.</w:t>
      </w:r>
    </w:p>
    <w:p>
      <w:pPr>
        <w:ind w:firstLine="2800"/>
        <w:rPr>
          <w:rFonts w:eastAsia="Times New Roman"/>
          <w:lang w:val="es-ES" w:eastAsia="es-ES"/>
        </w:rPr>
      </w:pPr>
    </w:p>
    <w:p>
      <w:pPr>
        <w:ind w:firstLine="2800"/>
        <w:rPr>
          <w:rFonts w:eastAsia="Times New Roman"/>
          <w:lang w:val="es-ES" w:eastAsia="es-ES"/>
        </w:rPr>
      </w:pPr>
      <w:r>
        <w:rPr>
          <w:rFonts w:eastAsia="Times New Roman"/>
          <w:lang w:val="es-ES" w:eastAsia="es-ES"/>
        </w:rPr>
        <w:t>Los montos, en miles de pesos, son los siguientes:</w:t>
      </w:r>
    </w:p>
    <w:p>
      <w:pPr>
        <w:ind w:firstLine="2800"/>
        <w:rPr>
          <w:rFonts w:eastAsia="Times New Roman"/>
          <w:lang w:val="es-ES" w:eastAsia="es-ES"/>
        </w:rPr>
      </w:pPr>
    </w:p>
    <w:p>
      <w:pPr>
        <w:ind w:firstLine="2800"/>
        <w:rPr>
          <w:rFonts w:eastAsia="Times New Roman"/>
          <w:lang w:val="es-ES" w:eastAsia="es-ES"/>
        </w:rPr>
      </w:pPr>
      <w:r>
        <w:rPr>
          <w:rFonts w:eastAsia="Times New Roman"/>
          <w:lang w:val="es-ES" w:eastAsia="es-ES"/>
        </w:rPr>
        <w:t>- CUOTA NACIONAL</w:t>
      </w:r>
      <w:r>
        <w:rPr>
          <w:rFonts w:eastAsia="Times New Roman"/>
          <w:lang w:val="es-ES" w:eastAsia="es-ES"/>
        </w:rPr>
        <w:tab/>
      </w:r>
      <w:r>
        <w:rPr>
          <w:rFonts w:eastAsia="Times New Roman"/>
          <w:lang w:val="es-ES" w:eastAsia="es-ES"/>
        </w:rPr>
        <w:tab/>
        <w:t>1.337.869</w:t>
      </w:r>
    </w:p>
    <w:p>
      <w:pPr>
        <w:ind w:firstLine="2800"/>
        <w:rPr>
          <w:rFonts w:eastAsia="Times New Roman"/>
          <w:lang w:val="es-ES" w:eastAsia="es-ES"/>
        </w:rPr>
      </w:pPr>
      <w:r>
        <w:rPr>
          <w:rFonts w:eastAsia="Times New Roman"/>
          <w:lang w:val="es-ES" w:eastAsia="es-ES"/>
        </w:rPr>
        <w:t>- CUOTA REGIONAL</w:t>
      </w:r>
      <w:r>
        <w:rPr>
          <w:rFonts w:eastAsia="Times New Roman"/>
          <w:lang w:val="es-ES" w:eastAsia="es-ES"/>
        </w:rPr>
        <w:tab/>
      </w:r>
      <w:r>
        <w:rPr>
          <w:rFonts w:eastAsia="Times New Roman"/>
          <w:lang w:val="es-ES" w:eastAsia="es-ES"/>
        </w:rPr>
        <w:tab/>
        <w:t>4.168.105</w:t>
      </w:r>
    </w:p>
    <w:p>
      <w:pPr>
        <w:ind w:firstLine="2800"/>
        <w:rPr>
          <w:rFonts w:eastAsia="Times New Roman"/>
          <w:lang w:val="es-ES" w:eastAsia="es-ES"/>
        </w:rPr>
      </w:pPr>
      <w:r>
        <w:rPr>
          <w:rFonts w:eastAsia="Times New Roman"/>
          <w:lang w:val="es-ES" w:eastAsia="es-ES"/>
        </w:rPr>
        <w:t>I Región</w:t>
      </w:r>
      <w:r>
        <w:rPr>
          <w:rFonts w:eastAsia="Times New Roman"/>
          <w:lang w:val="es-ES" w:eastAsia="es-ES"/>
        </w:rPr>
        <w:tab/>
      </w:r>
      <w:r>
        <w:rPr>
          <w:rFonts w:eastAsia="Times New Roman"/>
          <w:lang w:val="es-ES" w:eastAsia="es-ES"/>
        </w:rPr>
        <w:tab/>
      </w:r>
      <w:r>
        <w:rPr>
          <w:rFonts w:eastAsia="Times New Roman"/>
          <w:lang w:val="es-ES" w:eastAsia="es-ES"/>
        </w:rPr>
        <w:tab/>
      </w:r>
      <w:r>
        <w:rPr>
          <w:rFonts w:eastAsia="Times New Roman"/>
          <w:lang w:val="es-ES" w:eastAsia="es-ES"/>
        </w:rPr>
        <w:tab/>
        <w:t>185.886</w:t>
      </w:r>
    </w:p>
    <w:p>
      <w:pPr>
        <w:ind w:firstLine="2800"/>
        <w:rPr>
          <w:rFonts w:eastAsia="Times New Roman"/>
          <w:lang w:val="es-ES" w:eastAsia="es-ES"/>
        </w:rPr>
      </w:pPr>
      <w:r>
        <w:rPr>
          <w:rFonts w:eastAsia="Times New Roman"/>
          <w:lang w:val="es-ES" w:eastAsia="es-ES"/>
        </w:rPr>
        <w:t>II Región</w:t>
      </w:r>
      <w:r>
        <w:rPr>
          <w:rFonts w:eastAsia="Times New Roman"/>
          <w:lang w:val="es-ES" w:eastAsia="es-ES"/>
        </w:rPr>
        <w:tab/>
      </w:r>
      <w:r>
        <w:rPr>
          <w:rFonts w:eastAsia="Times New Roman"/>
          <w:lang w:val="es-ES" w:eastAsia="es-ES"/>
        </w:rPr>
        <w:tab/>
      </w:r>
      <w:r>
        <w:rPr>
          <w:rFonts w:eastAsia="Times New Roman"/>
          <w:lang w:val="es-ES" w:eastAsia="es-ES"/>
        </w:rPr>
        <w:tab/>
      </w:r>
      <w:r>
        <w:rPr>
          <w:rFonts w:eastAsia="Times New Roman"/>
          <w:lang w:val="es-ES" w:eastAsia="es-ES"/>
        </w:rPr>
        <w:tab/>
        <w:t>216.496</w:t>
      </w:r>
    </w:p>
    <w:p>
      <w:pPr>
        <w:ind w:firstLine="2800"/>
        <w:rPr>
          <w:rFonts w:eastAsia="Times New Roman"/>
          <w:lang w:val="es-ES" w:eastAsia="es-ES"/>
        </w:rPr>
      </w:pPr>
      <w:r>
        <w:rPr>
          <w:rFonts w:eastAsia="Times New Roman"/>
          <w:lang w:val="es-ES" w:eastAsia="es-ES"/>
        </w:rPr>
        <w:t>III Región</w:t>
      </w:r>
      <w:r>
        <w:rPr>
          <w:rFonts w:eastAsia="Times New Roman"/>
          <w:lang w:val="es-ES" w:eastAsia="es-ES"/>
        </w:rPr>
        <w:tab/>
      </w:r>
      <w:r>
        <w:rPr>
          <w:rFonts w:eastAsia="Times New Roman"/>
          <w:lang w:val="es-ES" w:eastAsia="es-ES"/>
        </w:rPr>
        <w:tab/>
      </w:r>
      <w:r>
        <w:rPr>
          <w:rFonts w:eastAsia="Times New Roman"/>
          <w:lang w:val="es-ES" w:eastAsia="es-ES"/>
        </w:rPr>
        <w:tab/>
      </w:r>
      <w:r>
        <w:rPr>
          <w:rFonts w:eastAsia="Times New Roman"/>
          <w:lang w:val="es-ES" w:eastAsia="es-ES"/>
        </w:rPr>
        <w:tab/>
        <w:t>177.675</w:t>
      </w:r>
    </w:p>
    <w:p>
      <w:pPr>
        <w:ind w:firstLine="2800"/>
        <w:rPr>
          <w:rFonts w:eastAsia="Times New Roman"/>
          <w:lang w:val="es-ES" w:eastAsia="es-ES"/>
        </w:rPr>
      </w:pPr>
      <w:r>
        <w:rPr>
          <w:rFonts w:eastAsia="Times New Roman"/>
          <w:lang w:val="es-ES" w:eastAsia="es-ES"/>
        </w:rPr>
        <w:lastRenderedPageBreak/>
        <w:t>IV Región</w:t>
      </w:r>
      <w:r>
        <w:rPr>
          <w:rFonts w:eastAsia="Times New Roman"/>
          <w:lang w:val="es-ES" w:eastAsia="es-ES"/>
        </w:rPr>
        <w:tab/>
      </w:r>
      <w:r>
        <w:rPr>
          <w:rFonts w:eastAsia="Times New Roman"/>
          <w:lang w:val="es-ES" w:eastAsia="es-ES"/>
        </w:rPr>
        <w:tab/>
      </w:r>
      <w:r>
        <w:rPr>
          <w:rFonts w:eastAsia="Times New Roman"/>
          <w:lang w:val="es-ES" w:eastAsia="es-ES"/>
        </w:rPr>
        <w:tab/>
      </w:r>
      <w:r>
        <w:rPr>
          <w:rFonts w:eastAsia="Times New Roman"/>
          <w:lang w:val="es-ES" w:eastAsia="es-ES"/>
        </w:rPr>
        <w:tab/>
        <w:t>238.655</w:t>
      </w:r>
    </w:p>
    <w:p>
      <w:pPr>
        <w:ind w:firstLine="2800"/>
        <w:rPr>
          <w:rFonts w:eastAsia="Times New Roman"/>
          <w:lang w:val="es-ES" w:eastAsia="es-ES"/>
        </w:rPr>
      </w:pPr>
      <w:r>
        <w:rPr>
          <w:rFonts w:eastAsia="Times New Roman"/>
          <w:lang w:val="es-ES" w:eastAsia="es-ES"/>
        </w:rPr>
        <w:t>V Región</w:t>
      </w:r>
      <w:r>
        <w:rPr>
          <w:rFonts w:eastAsia="Times New Roman"/>
          <w:lang w:val="es-ES" w:eastAsia="es-ES"/>
        </w:rPr>
        <w:tab/>
      </w:r>
      <w:r>
        <w:rPr>
          <w:rFonts w:eastAsia="Times New Roman"/>
          <w:lang w:val="es-ES" w:eastAsia="es-ES"/>
        </w:rPr>
        <w:tab/>
      </w:r>
      <w:r>
        <w:rPr>
          <w:rFonts w:eastAsia="Times New Roman"/>
          <w:lang w:val="es-ES" w:eastAsia="es-ES"/>
        </w:rPr>
        <w:tab/>
      </w:r>
      <w:r>
        <w:rPr>
          <w:rFonts w:eastAsia="Times New Roman"/>
          <w:lang w:val="es-ES" w:eastAsia="es-ES"/>
        </w:rPr>
        <w:tab/>
        <w:t>321.006</w:t>
      </w:r>
    </w:p>
    <w:p>
      <w:pPr>
        <w:ind w:firstLine="2800"/>
        <w:rPr>
          <w:rFonts w:eastAsia="Times New Roman"/>
          <w:lang w:val="es-ES" w:eastAsia="es-ES"/>
        </w:rPr>
      </w:pPr>
      <w:r>
        <w:rPr>
          <w:rFonts w:eastAsia="Times New Roman"/>
          <w:lang w:val="es-ES" w:eastAsia="es-ES"/>
        </w:rPr>
        <w:t>VI Región</w:t>
      </w:r>
      <w:r>
        <w:rPr>
          <w:rFonts w:eastAsia="Times New Roman"/>
          <w:lang w:val="es-ES" w:eastAsia="es-ES"/>
        </w:rPr>
        <w:tab/>
      </w:r>
      <w:r>
        <w:rPr>
          <w:rFonts w:eastAsia="Times New Roman"/>
          <w:lang w:val="es-ES" w:eastAsia="es-ES"/>
        </w:rPr>
        <w:tab/>
      </w:r>
      <w:r>
        <w:rPr>
          <w:rFonts w:eastAsia="Times New Roman"/>
          <w:lang w:val="es-ES" w:eastAsia="es-ES"/>
        </w:rPr>
        <w:tab/>
      </w:r>
      <w:r>
        <w:rPr>
          <w:rFonts w:eastAsia="Times New Roman"/>
          <w:lang w:val="es-ES" w:eastAsia="es-ES"/>
        </w:rPr>
        <w:tab/>
        <w:t>237.576</w:t>
      </w:r>
    </w:p>
    <w:p>
      <w:pPr>
        <w:ind w:firstLine="2800"/>
        <w:rPr>
          <w:rFonts w:eastAsia="Times New Roman"/>
          <w:lang w:val="es-ES" w:eastAsia="es-ES"/>
        </w:rPr>
      </w:pPr>
      <w:r>
        <w:rPr>
          <w:rFonts w:eastAsia="Times New Roman"/>
          <w:lang w:val="es-ES" w:eastAsia="es-ES"/>
        </w:rPr>
        <w:t>VII Región</w:t>
      </w:r>
      <w:r>
        <w:rPr>
          <w:rFonts w:eastAsia="Times New Roman"/>
          <w:lang w:val="es-ES" w:eastAsia="es-ES"/>
        </w:rPr>
        <w:tab/>
      </w:r>
      <w:r>
        <w:rPr>
          <w:rFonts w:eastAsia="Times New Roman"/>
          <w:lang w:val="es-ES" w:eastAsia="es-ES"/>
        </w:rPr>
        <w:tab/>
      </w:r>
      <w:r>
        <w:rPr>
          <w:rFonts w:eastAsia="Times New Roman"/>
          <w:lang w:val="es-ES" w:eastAsia="es-ES"/>
        </w:rPr>
        <w:tab/>
      </w:r>
      <w:r>
        <w:rPr>
          <w:rFonts w:eastAsia="Times New Roman"/>
          <w:lang w:val="es-ES" w:eastAsia="es-ES"/>
        </w:rPr>
        <w:tab/>
        <w:t>248.584</w:t>
      </w:r>
    </w:p>
    <w:p>
      <w:pPr>
        <w:ind w:firstLine="2800"/>
        <w:rPr>
          <w:rFonts w:eastAsia="Times New Roman"/>
          <w:lang w:val="es-ES" w:eastAsia="es-ES"/>
        </w:rPr>
      </w:pPr>
      <w:r>
        <w:rPr>
          <w:rFonts w:eastAsia="Times New Roman"/>
          <w:lang w:val="es-ES" w:eastAsia="es-ES"/>
        </w:rPr>
        <w:t>VIII Región</w:t>
      </w:r>
      <w:r>
        <w:rPr>
          <w:rFonts w:eastAsia="Times New Roman"/>
          <w:lang w:val="es-ES" w:eastAsia="es-ES"/>
        </w:rPr>
        <w:tab/>
      </w:r>
      <w:r>
        <w:rPr>
          <w:rFonts w:eastAsia="Times New Roman"/>
          <w:lang w:val="es-ES" w:eastAsia="es-ES"/>
        </w:rPr>
        <w:tab/>
      </w:r>
      <w:r>
        <w:rPr>
          <w:rFonts w:eastAsia="Times New Roman"/>
          <w:lang w:val="es-ES" w:eastAsia="es-ES"/>
        </w:rPr>
        <w:tab/>
      </w:r>
      <w:r>
        <w:rPr>
          <w:rFonts w:eastAsia="Times New Roman"/>
          <w:lang w:val="es-ES" w:eastAsia="es-ES"/>
        </w:rPr>
        <w:tab/>
        <w:t>370.113</w:t>
      </w:r>
    </w:p>
    <w:p>
      <w:pPr>
        <w:ind w:firstLine="2800"/>
        <w:rPr>
          <w:rFonts w:eastAsia="Times New Roman"/>
          <w:lang w:val="es-ES" w:eastAsia="es-ES"/>
        </w:rPr>
      </w:pPr>
      <w:r>
        <w:rPr>
          <w:rFonts w:eastAsia="Times New Roman"/>
          <w:lang w:val="es-ES" w:eastAsia="es-ES"/>
        </w:rPr>
        <w:t>IX Región</w:t>
      </w:r>
      <w:r>
        <w:rPr>
          <w:rFonts w:eastAsia="Times New Roman"/>
          <w:lang w:val="es-ES" w:eastAsia="es-ES"/>
        </w:rPr>
        <w:tab/>
      </w:r>
      <w:r>
        <w:rPr>
          <w:rFonts w:eastAsia="Times New Roman"/>
          <w:lang w:val="es-ES" w:eastAsia="es-ES"/>
        </w:rPr>
        <w:tab/>
      </w:r>
      <w:r>
        <w:rPr>
          <w:rFonts w:eastAsia="Times New Roman"/>
          <w:lang w:val="es-ES" w:eastAsia="es-ES"/>
        </w:rPr>
        <w:tab/>
      </w:r>
      <w:r>
        <w:rPr>
          <w:rFonts w:eastAsia="Times New Roman"/>
          <w:lang w:val="es-ES" w:eastAsia="es-ES"/>
        </w:rPr>
        <w:tab/>
        <w:t>265.603</w:t>
      </w:r>
    </w:p>
    <w:p>
      <w:pPr>
        <w:ind w:firstLine="2800"/>
        <w:rPr>
          <w:rFonts w:eastAsia="Times New Roman"/>
          <w:lang w:val="es-ES" w:eastAsia="es-ES"/>
        </w:rPr>
      </w:pPr>
      <w:r>
        <w:rPr>
          <w:rFonts w:eastAsia="Times New Roman"/>
          <w:lang w:val="es-ES" w:eastAsia="es-ES"/>
        </w:rPr>
        <w:t>X Región</w:t>
      </w:r>
      <w:r>
        <w:rPr>
          <w:rFonts w:eastAsia="Times New Roman"/>
          <w:lang w:val="es-ES" w:eastAsia="es-ES"/>
        </w:rPr>
        <w:tab/>
      </w:r>
      <w:r>
        <w:rPr>
          <w:rFonts w:eastAsia="Times New Roman"/>
          <w:lang w:val="es-ES" w:eastAsia="es-ES"/>
        </w:rPr>
        <w:tab/>
      </w:r>
      <w:r>
        <w:rPr>
          <w:rFonts w:eastAsia="Times New Roman"/>
          <w:lang w:val="es-ES" w:eastAsia="es-ES"/>
        </w:rPr>
        <w:tab/>
      </w:r>
      <w:r>
        <w:rPr>
          <w:rFonts w:eastAsia="Times New Roman"/>
          <w:lang w:val="es-ES" w:eastAsia="es-ES"/>
        </w:rPr>
        <w:tab/>
        <w:t>254.984</w:t>
      </w:r>
    </w:p>
    <w:p>
      <w:pPr>
        <w:ind w:firstLine="2800"/>
        <w:rPr>
          <w:rFonts w:eastAsia="Times New Roman"/>
          <w:lang w:val="es-ES" w:eastAsia="es-ES"/>
        </w:rPr>
      </w:pPr>
      <w:r>
        <w:rPr>
          <w:rFonts w:eastAsia="Times New Roman"/>
          <w:lang w:val="es-ES" w:eastAsia="es-ES"/>
        </w:rPr>
        <w:t>XI Región</w:t>
      </w:r>
      <w:r>
        <w:rPr>
          <w:rFonts w:eastAsia="Times New Roman"/>
          <w:lang w:val="es-ES" w:eastAsia="es-ES"/>
        </w:rPr>
        <w:tab/>
      </w:r>
      <w:r>
        <w:rPr>
          <w:rFonts w:eastAsia="Times New Roman"/>
          <w:lang w:val="es-ES" w:eastAsia="es-ES"/>
        </w:rPr>
        <w:tab/>
      </w:r>
      <w:r>
        <w:rPr>
          <w:rFonts w:eastAsia="Times New Roman"/>
          <w:lang w:val="es-ES" w:eastAsia="es-ES"/>
        </w:rPr>
        <w:tab/>
      </w:r>
      <w:r>
        <w:rPr>
          <w:rFonts w:eastAsia="Times New Roman"/>
          <w:lang w:val="es-ES" w:eastAsia="es-ES"/>
        </w:rPr>
        <w:tab/>
        <w:t>172.452</w:t>
      </w:r>
    </w:p>
    <w:p>
      <w:pPr>
        <w:ind w:firstLine="2800"/>
        <w:rPr>
          <w:rFonts w:eastAsia="Times New Roman"/>
          <w:lang w:val="es-ES" w:eastAsia="es-ES"/>
        </w:rPr>
      </w:pPr>
      <w:r>
        <w:rPr>
          <w:rFonts w:eastAsia="Times New Roman"/>
          <w:lang w:val="es-ES" w:eastAsia="es-ES"/>
        </w:rPr>
        <w:t>XII Región</w:t>
      </w:r>
      <w:r>
        <w:rPr>
          <w:rFonts w:eastAsia="Times New Roman"/>
          <w:lang w:val="es-ES" w:eastAsia="es-ES"/>
        </w:rPr>
        <w:tab/>
      </w:r>
      <w:r>
        <w:rPr>
          <w:rFonts w:eastAsia="Times New Roman"/>
          <w:lang w:val="es-ES" w:eastAsia="es-ES"/>
        </w:rPr>
        <w:tab/>
      </w:r>
      <w:r>
        <w:rPr>
          <w:rFonts w:eastAsia="Times New Roman"/>
          <w:lang w:val="es-ES" w:eastAsia="es-ES"/>
        </w:rPr>
        <w:tab/>
      </w:r>
      <w:r>
        <w:rPr>
          <w:rFonts w:eastAsia="Times New Roman"/>
          <w:lang w:val="es-ES" w:eastAsia="es-ES"/>
        </w:rPr>
        <w:tab/>
        <w:t>177.270</w:t>
      </w:r>
    </w:p>
    <w:p>
      <w:pPr>
        <w:ind w:firstLine="2800"/>
        <w:rPr>
          <w:rFonts w:eastAsia="Times New Roman"/>
          <w:lang w:val="es-ES" w:eastAsia="es-ES"/>
        </w:rPr>
      </w:pPr>
      <w:r>
        <w:rPr>
          <w:rFonts w:eastAsia="Times New Roman"/>
          <w:lang w:val="es-ES" w:eastAsia="es-ES"/>
        </w:rPr>
        <w:t>XIV Región</w:t>
      </w:r>
      <w:r>
        <w:rPr>
          <w:rFonts w:eastAsia="Times New Roman"/>
          <w:lang w:val="es-ES" w:eastAsia="es-ES"/>
        </w:rPr>
        <w:tab/>
      </w:r>
      <w:r>
        <w:rPr>
          <w:rFonts w:eastAsia="Times New Roman"/>
          <w:lang w:val="es-ES" w:eastAsia="es-ES"/>
        </w:rPr>
        <w:tab/>
      </w:r>
      <w:r>
        <w:rPr>
          <w:rFonts w:eastAsia="Times New Roman"/>
          <w:lang w:val="es-ES" w:eastAsia="es-ES"/>
        </w:rPr>
        <w:tab/>
      </w:r>
      <w:r>
        <w:rPr>
          <w:rFonts w:eastAsia="Times New Roman"/>
          <w:lang w:val="es-ES" w:eastAsia="es-ES"/>
        </w:rPr>
        <w:tab/>
        <w:t>222.591</w:t>
      </w:r>
    </w:p>
    <w:p>
      <w:pPr>
        <w:ind w:firstLine="2800"/>
        <w:rPr>
          <w:rFonts w:eastAsia="Times New Roman"/>
          <w:lang w:val="es-ES" w:eastAsia="es-ES"/>
        </w:rPr>
      </w:pPr>
      <w:r>
        <w:rPr>
          <w:rFonts w:eastAsia="Times New Roman"/>
          <w:lang w:val="es-ES" w:eastAsia="es-ES"/>
        </w:rPr>
        <w:t>XV Región</w:t>
      </w:r>
      <w:r>
        <w:rPr>
          <w:rFonts w:eastAsia="Times New Roman"/>
          <w:lang w:val="es-ES" w:eastAsia="es-ES"/>
        </w:rPr>
        <w:tab/>
      </w:r>
      <w:r>
        <w:rPr>
          <w:rFonts w:eastAsia="Times New Roman"/>
          <w:lang w:val="es-ES" w:eastAsia="es-ES"/>
        </w:rPr>
        <w:tab/>
      </w:r>
      <w:r>
        <w:rPr>
          <w:rFonts w:eastAsia="Times New Roman"/>
          <w:lang w:val="es-ES" w:eastAsia="es-ES"/>
        </w:rPr>
        <w:tab/>
      </w:r>
      <w:r>
        <w:rPr>
          <w:rFonts w:eastAsia="Times New Roman"/>
          <w:lang w:val="es-ES" w:eastAsia="es-ES"/>
        </w:rPr>
        <w:tab/>
        <w:t>192.587</w:t>
      </w:r>
    </w:p>
    <w:p>
      <w:pPr>
        <w:tabs>
          <w:tab w:val="left" w:pos="6663"/>
        </w:tabs>
        <w:ind w:firstLine="2800"/>
        <w:rPr>
          <w:rFonts w:eastAsia="Times New Roman"/>
          <w:lang w:val="es-ES" w:eastAsia="es-ES"/>
        </w:rPr>
      </w:pPr>
      <w:r>
        <w:rPr>
          <w:rFonts w:eastAsia="Times New Roman"/>
          <w:lang w:val="es-ES" w:eastAsia="es-ES"/>
        </w:rPr>
        <w:t>Región Metropolitana                   886.627</w:t>
      </w:r>
    </w:p>
    <w:p>
      <w:pPr>
        <w:tabs>
          <w:tab w:val="left" w:pos="5245"/>
        </w:tabs>
        <w:ind w:firstLine="2800"/>
        <w:rPr>
          <w:rFonts w:eastAsia="Times New Roman"/>
          <w:lang w:val="es-ES" w:eastAsia="es-ES"/>
        </w:rPr>
      </w:pPr>
      <w:r>
        <w:rPr>
          <w:rFonts w:eastAsia="Times New Roman"/>
          <w:lang w:val="es-ES" w:eastAsia="es-ES"/>
        </w:rPr>
        <w:t>TOTAL</w:t>
      </w:r>
      <w:r>
        <w:rPr>
          <w:rFonts w:eastAsia="Times New Roman"/>
          <w:lang w:val="es-ES" w:eastAsia="es-ES"/>
        </w:rPr>
        <w:tab/>
      </w:r>
      <w:r>
        <w:rPr>
          <w:rFonts w:eastAsia="Times New Roman"/>
          <w:lang w:val="es-ES" w:eastAsia="es-ES"/>
        </w:rPr>
        <w:tab/>
      </w:r>
      <w:r>
        <w:rPr>
          <w:rFonts w:eastAsia="Times New Roman"/>
          <w:lang w:val="es-ES" w:eastAsia="es-ES"/>
        </w:rPr>
        <w:tab/>
        <w:t>5.505.974</w:t>
      </w:r>
    </w:p>
    <w:p>
      <w:pPr>
        <w:ind w:firstLine="2800"/>
        <w:rPr>
          <w:rFonts w:eastAsia="Times New Roman"/>
          <w:lang w:val="es-ES" w:eastAsia="es-ES"/>
        </w:rPr>
      </w:pPr>
    </w:p>
    <w:p>
      <w:pPr>
        <w:ind w:firstLine="2800"/>
        <w:rPr>
          <w:rFonts w:eastAsia="Times New Roman"/>
          <w:lang w:val="es-ES" w:eastAsia="es-ES"/>
        </w:rPr>
      </w:pPr>
      <w:r>
        <w:rPr>
          <w:rFonts w:eastAsia="Times New Roman"/>
          <w:lang w:val="es-ES" w:eastAsia="es-ES"/>
        </w:rPr>
        <w:t>La Glosa 02 asociada a los Subtítulos 24 Transferencias Corrientes y 33 Transferencias de Capital, prescribe que la individualización de los proyectos beneficiados con estos recursos y de las personas o entidades ejecutoras, los montos asignados, la modalidad de asignación, su distribución por comuna y región, y el vencimiento de las garantías otorgadas para su fiel cumplimiento, deberán ser publicados semestralmente en la página web del Instituto Nacional de Deportes.</w:t>
      </w:r>
    </w:p>
    <w:p>
      <w:pPr>
        <w:ind w:firstLine="2800"/>
        <w:rPr>
          <w:rFonts w:eastAsia="Times New Roman"/>
          <w:lang w:val="es-ES" w:eastAsia="es-ES"/>
        </w:rPr>
      </w:pPr>
    </w:p>
    <w:p>
      <w:pPr>
        <w:ind w:firstLine="2800"/>
        <w:rPr>
          <w:rFonts w:eastAsia="Times New Roman"/>
          <w:lang w:val="es-ES" w:eastAsia="es-ES"/>
        </w:rPr>
      </w:pPr>
      <w:r>
        <w:rPr>
          <w:rFonts w:eastAsia="Times New Roman"/>
          <w:lang w:val="es-ES" w:eastAsia="es-ES"/>
        </w:rPr>
        <w:t>Además, dicha información deberá remitirse electrónicamente a la Comisión Especial Mixta de Presupuestos y a la Comisión de Deportes y Recreación de la Cámara de Diputados, en igual periodicidad.</w:t>
      </w:r>
    </w:p>
    <w:p>
      <w:pPr>
        <w:ind w:firstLine="2800"/>
        <w:rPr>
          <w:rFonts w:eastAsia="Times New Roman"/>
          <w:lang w:val="es-ES" w:eastAsia="es-ES"/>
        </w:rPr>
      </w:pPr>
    </w:p>
    <w:p>
      <w:pPr>
        <w:ind w:firstLine="2800"/>
        <w:rPr>
          <w:rFonts w:eastAsia="Times New Roman"/>
          <w:lang w:val="es-ES" w:eastAsia="es-ES"/>
        </w:rPr>
      </w:pPr>
      <w:r>
        <w:rPr>
          <w:rFonts w:eastAsia="Times New Roman"/>
          <w:lang w:val="es-ES" w:eastAsia="es-ES"/>
        </w:rPr>
        <w:t>La Glosa 03 referida a los mismos Subtítulos 24 y 33, dispone que estos recursos del Fondo Nacional para el Fomento del Deporte, serán asignados a lo menos en un 70% mediante concursos públicos.</w:t>
      </w:r>
    </w:p>
    <w:p>
      <w:pPr>
        <w:ind w:firstLine="2800"/>
        <w:rPr>
          <w:rFonts w:eastAsia="Times New Roman"/>
          <w:lang w:val="es-ES" w:eastAsia="es-ES"/>
        </w:rPr>
      </w:pPr>
    </w:p>
    <w:p>
      <w:pPr>
        <w:ind w:firstLine="2800"/>
        <w:rPr>
          <w:rFonts w:eastAsia="Times New Roman"/>
          <w:lang w:val="es-ES" w:eastAsia="es-ES"/>
        </w:rPr>
      </w:pPr>
      <w:r>
        <w:rPr>
          <w:rFonts w:eastAsia="Times New Roman"/>
          <w:lang w:val="es-ES" w:eastAsia="es-ES"/>
        </w:rPr>
        <w:t>Sólo podrán asignarse recursos a través de la modalidad de asignación directa para financiar actividades deportivas de relevancia regional, nacional e internacional, mediante resolución del Director Regional o Nacional según corresponda. La información sobre los recursos asignados mediante esta última modalidad deberá ser remitida trimestralmente a la Comisión Especial Mixta de Presupuestos y a la Comisión de Deportes y Recreación de la Cámara de Diputados.</w:t>
      </w:r>
    </w:p>
    <w:p>
      <w:pPr>
        <w:ind w:firstLine="2800"/>
        <w:rPr>
          <w:rFonts w:eastAsia="Times New Roman"/>
          <w:lang w:val="es-ES" w:eastAsia="es-ES"/>
        </w:rPr>
      </w:pPr>
    </w:p>
    <w:p>
      <w:pPr>
        <w:ind w:firstLine="2800"/>
        <w:rPr>
          <w:rFonts w:eastAsia="Times New Roman"/>
          <w:lang w:val="es-ES" w:eastAsia="es-ES"/>
        </w:rPr>
      </w:pPr>
      <w:r>
        <w:rPr>
          <w:rFonts w:eastAsia="Times New Roman"/>
          <w:lang w:val="es-ES" w:eastAsia="es-ES"/>
        </w:rPr>
        <w:t>No obstante lo dispuesto en el inciso primero del artículo 44 de la ley N° 19.712, la Institución podrá efectuar más de un concurso público en el año, para la selección de los planes, programas, proyectos, actividades y medidas financiados por el fondo, así como, para la selección de aquellos proyectos susceptibles de ser financiados mediante donaciones que tengan derecho al crédito tributario establecido en el artículo 62 de la misma ley. La evaluación de los proyectos a que se refiere el inciso tercero del artículo 44 de la ley N° 19.712, se efectuará por entidades externas. Además de los criterios referidos en el mencionado artículo 44, se considerará el aporte de las iniciativas propuestas al fortalecimiento de la educación pública y el entorno de escuelas y liceos.</w:t>
      </w:r>
    </w:p>
    <w:p>
      <w:pPr>
        <w:ind w:firstLine="2800"/>
        <w:rPr>
          <w:rFonts w:eastAsia="Times New Roman"/>
          <w:lang w:val="es-ES" w:eastAsia="es-ES"/>
        </w:rPr>
      </w:pPr>
    </w:p>
    <w:p>
      <w:pPr>
        <w:ind w:firstLine="2800"/>
        <w:rPr>
          <w:rFonts w:eastAsia="Times New Roman"/>
          <w:lang w:val="es-ES" w:eastAsia="es-ES"/>
        </w:rPr>
      </w:pPr>
      <w:r>
        <w:rPr>
          <w:rFonts w:eastAsia="Times New Roman"/>
          <w:lang w:val="es-ES" w:eastAsia="es-ES"/>
        </w:rPr>
        <w:lastRenderedPageBreak/>
        <w:t>La Glosa 04 referida a los Subtítulos 24 Ítem 03 Transferencias Corrientes a Otras Entidades Públicas y 33 Ítem 03 Transferencias de Capital a Otras Entidades Públicas, prescribe que los fondos que se transfieran a Organismos del Sector Público no se incorporarán a los presupuestos de éstos. No obstante, dichos Organismos deberán rendir cuenta de estos fondos a la Contraloría General de la República, sin perjuicio de las normas que imparta al respecto el Instituto Nacional de Deportes.</w:t>
      </w:r>
    </w:p>
    <w:p>
      <w:pPr>
        <w:ind w:firstLine="2800"/>
        <w:rPr>
          <w:rFonts w:eastAsia="Times New Roman"/>
          <w:lang w:val="es-ES" w:eastAsia="es-ES"/>
        </w:rPr>
      </w:pPr>
    </w:p>
    <w:p>
      <w:pPr>
        <w:ind w:firstLine="2800"/>
        <w:rPr>
          <w:rFonts w:eastAsia="Times New Roman" w:cs="Times New Roman"/>
          <w:szCs w:val="20"/>
          <w:lang w:val="es-ES" w:eastAsia="es-ES"/>
        </w:rPr>
      </w:pPr>
      <w:r>
        <w:rPr>
          <w:rFonts w:eastAsia="Times New Roman"/>
          <w:lang w:val="es-ES" w:eastAsia="es-ES"/>
        </w:rPr>
        <w:t>Por último, la Glosa 05 referida al Subtítulo 33 Transferencias de Capital, dispone que se excluya de la exigencia establecida en el artículo 50 de la ley N° 19.712, del Deporte, la inversión en equipamiento e infraestructura deportiva financiada con recursos del Instituto Nacional de Deportes, en los inmuebles que constituyan bienes comunes conformados de acuerdo a las leyes N° 15.020 y N° 16.640, sobre Reforma Agraria y N° 19.253, Ley Indígena, en bienes inmuebles nacionales, sean o no de uso público y en inmuebles de propiedad del Servicio de Vivienda y Urbanismo. Agrega que la certificación para postular proyectos de inversión en estos campos deportivos referida a la posesión y uso de los mismos, podrá extenderla la Municipalidad respectiva.</w:t>
      </w:r>
    </w:p>
    <w:p>
      <w:pPr>
        <w:tabs>
          <w:tab w:val="left" w:pos="2835"/>
        </w:tabs>
        <w:rPr>
          <w:rFonts w:eastAsia="Times New Roman" w:cs="Times New Roman"/>
          <w:szCs w:val="20"/>
          <w:lang w:val="es-ES" w:eastAsia="es-ES"/>
        </w:rPr>
      </w:pPr>
    </w:p>
    <w:p>
      <w:pPr>
        <w:tabs>
          <w:tab w:val="left" w:pos="2835"/>
        </w:tabs>
        <w:ind w:firstLine="0"/>
        <w:jc w:val="center"/>
        <w:rPr>
          <w:rFonts w:eastAsia="Times New Roman"/>
          <w:lang w:val="es-ES" w:eastAsia="es-ES"/>
        </w:rPr>
      </w:pPr>
      <w:r>
        <w:rPr>
          <w:rFonts w:eastAsia="Times New Roman"/>
          <w:lang w:val="es-ES" w:eastAsia="es-ES"/>
        </w:rPr>
        <w:t>- - -</w:t>
      </w:r>
    </w:p>
    <w:p>
      <w:pPr>
        <w:tabs>
          <w:tab w:val="left" w:pos="2835"/>
        </w:tabs>
        <w:ind w:firstLine="0"/>
        <w:rPr>
          <w:rFonts w:eastAsia="Times New Roman" w:cs="Times New Roman"/>
          <w:szCs w:val="20"/>
          <w:highlight w:val="yellow"/>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 xml:space="preserve">La </w:t>
      </w:r>
      <w:r>
        <w:rPr>
          <w:rFonts w:eastAsia="Times New Roman" w:cs="Times New Roman"/>
          <w:b/>
          <w:szCs w:val="20"/>
          <w:lang w:val="es-ES" w:eastAsia="es-ES"/>
        </w:rPr>
        <w:t>Ministra del Deporte, señora Natalia Riffo</w:t>
      </w:r>
      <w:r>
        <w:rPr>
          <w:rFonts w:eastAsia="Times New Roman" w:cs="Times New Roman"/>
          <w:szCs w:val="20"/>
          <w:lang w:val="es-ES" w:eastAsia="es-ES"/>
        </w:rPr>
        <w:t>, señaló que el presupuesto asignado para el año 2017 a la Partida 26, Ministerio del Deporte asciende a $133.727.206 miles, experimentando una variación negativa de un 5,5%, en relación a los recursos asignados en el presupuesto vigente.</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 xml:space="preserve">Enseguida se refirió al Subtítulo 21 Gastos en Personal, señalando que el aumento del 15,1% que experimenta, obedece al traspaso de funcionarios que se desempeñan a honorarios a la calidad de contrata; a otros requerimientos relativos a la mantención de los recintos deportivos nuevos, y al déficit de recursos humanos que existente en recintos deportivos públicos a lo largo del país. </w:t>
      </w:r>
    </w:p>
    <w:p>
      <w:pPr>
        <w:tabs>
          <w:tab w:val="left" w:pos="2835"/>
        </w:tabs>
        <w:rPr>
          <w:rFonts w:eastAsia="Times New Roman" w:cs="Times New Roman"/>
          <w:szCs w:val="20"/>
          <w:lang w:val="es-ES" w:eastAsia="es-ES"/>
        </w:rPr>
      </w:pPr>
    </w:p>
    <w:p>
      <w:pPr>
        <w:tabs>
          <w:tab w:val="left" w:pos="2835"/>
        </w:tabs>
        <w:rPr>
          <w:rFonts w:eastAsia="Times New Roman" w:cs="Times New Roman"/>
          <w:szCs w:val="20"/>
          <w:highlight w:val="yellow"/>
          <w:lang w:val="es-ES" w:eastAsia="es-ES"/>
        </w:rPr>
      </w:pPr>
      <w:r>
        <w:rPr>
          <w:rFonts w:eastAsia="Times New Roman" w:cs="Times New Roman"/>
          <w:szCs w:val="20"/>
          <w:lang w:val="es-ES" w:eastAsia="es-ES"/>
        </w:rPr>
        <w:t>Puntualizó que el Subtítulo 22 Bienes y Servicios de Consumo aumenta en un 2,9%, en relación al año 2016.</w:t>
      </w:r>
    </w:p>
    <w:p>
      <w:pPr>
        <w:tabs>
          <w:tab w:val="left" w:pos="2835"/>
        </w:tabs>
        <w:rPr>
          <w:rFonts w:eastAsia="Times New Roman" w:cs="Times New Roman"/>
          <w:szCs w:val="20"/>
          <w:highlight w:val="yellow"/>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Respecto del Subtítulo 24 Transferencias Corrientes, expresó que éste guarda relación con los programas que ejecuta el Ministerio, tales como Escuelas Deportivas Integrales; Deporte Participación Privado; y Sistema Nacional de Competencias Deportivas,  todos los cuales son programas relevantes para el desarrollo y el fomento deportivo en el país.</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 xml:space="preserve">En relación  al Subtítulo 31 Iniciativas de Inversión y al Subtítulo 33 Transferencias de Capital, recordó que en la Comisión de Deportes de la Cámara de Diputados, el Ministerio ha expuesto en reiteradas ocasiones las dificultades que ha enfrentado en el ámbito de la inversión, precisando que en ambos Subtítulos existe una disminución importante de los recursos asignados respecto del año 2016. Es así como el Subtítulo 31 </w:t>
      </w:r>
      <w:r>
        <w:rPr>
          <w:rFonts w:eastAsia="Times New Roman" w:cs="Times New Roman"/>
          <w:szCs w:val="20"/>
          <w:lang w:val="es-ES" w:eastAsia="es-ES"/>
        </w:rPr>
        <w:lastRenderedPageBreak/>
        <w:t>Iniciativas de Inversión disminuye en un 19%; en tanto que el Subtítulo 33 Transferencias de Capital experimenta una variación negativa del 66%.</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 xml:space="preserve">Enseguida, la </w:t>
      </w:r>
      <w:r>
        <w:rPr>
          <w:rFonts w:eastAsia="Times New Roman" w:cs="Times New Roman"/>
          <w:b/>
          <w:szCs w:val="20"/>
          <w:lang w:val="es-ES" w:eastAsia="es-ES"/>
        </w:rPr>
        <w:t>Subsecretaria del Deporte, señora Nicole Sáez</w:t>
      </w:r>
      <w:r>
        <w:rPr>
          <w:rFonts w:eastAsia="Times New Roman" w:cs="Times New Roman"/>
          <w:szCs w:val="20"/>
          <w:lang w:val="es-ES" w:eastAsia="es-ES"/>
        </w:rPr>
        <w:t xml:space="preserve">, señaló que el Capítulo 01 presenta un incremento de un 3%, que desglosado por cada uno de los Subtítulos, se distribuye de la manera que se indicará. </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 xml:space="preserve">El Subtítulo 21 Gastos en Personal, experimenta un aumento de $ 124.133 miles, correspondiente a un 3% de variación positiva, que se explica por el aumento de dotación de cinco funcionarios, que implicará completar la institucionalidad de la Subsecretaría. Al respecto, recordó la creación del Ministerio del Deporte el año 2013, precisando que el año 2014 se inició la implementación de las Secretarías Regionales Ministeriales y que, posteriormente, se efectuó el traspaso de los funcionarios. Aseveró que el próximo año 2017 se proveerán los cargos de Jefe de División de Políticas e Infraestructura, Profesional de la Unidad de Transparencia, Encargado de Apoyo y Compras, Secretaria de Jefe de División y un chofer, con los recursos que este proyecto considera.   </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El Subtítulo 22 Bienes y Servicios de Consumo experimenta una disminución de un 9,1%, que obedece al término de los gastos asociados a la elaboración de la Política Nacional del Deporte, que requirió de una importante cantidad de recursos el año 2016, habiéndose financiado este año  la sistematización del proceso de diálogos,  el proceso de redacción e impresión de documentos, y los gastos comunicacionales en que se debió incurrir.</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Agregó que no obstante la disminución señalada, la Subsecretaría se hará cargo de los desafíos del Ministerio, que guardan relación con el proceso de las políticas regionales y su sistematización, y con la implementación de los Planes Deportivos Comunales.</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Luego se refirió al Subtítulo 24 Transferencias Corrientes, recordando que al comenzar la institucionalidad del Ministerio del Deporte, este Subtítulo no existía en la Partida 26, creándose el año 2015, vinculado inicialmente a la Comisión Nacional de Dopaje, refiriendo que dicha asignación no experimenta variación alguna, y por tanto continuará con la toma de igual número de muestras que las obtenidas este año.</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 xml:space="preserve">Refirió que al Subtítulo 24 se incorporan dos nuevas asignaciones, la primera referida a los Planes Deportivos Comunales, que se encontraba en el Instituto Nacional de Deportes, y se traspasa a la Subsecretaría, asignación cuyo objetivo es el de promover la actividad física y el deporte durante todo el ciclo vital, a través del fortalecimiento de la planificación y gestión deportiva local.   </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 xml:space="preserve">Continuó señalando que durante este año los Planes Deportivos Comunales se desarrollaron en 20 comunas pilotos, a saber: Región de Valparaíso, comunas de Valparaíso, Limache, Petorca y Cabildo; Región Metropolitana, comunas de Ñuñoa, Santiago, Pudahuel y María Pinto; Región del Maule, comunas de Curicó Colbún, Río Claro y </w:t>
      </w:r>
      <w:r>
        <w:rPr>
          <w:rFonts w:eastAsia="Times New Roman" w:cs="Times New Roman"/>
          <w:szCs w:val="20"/>
          <w:lang w:val="es-ES" w:eastAsia="es-ES"/>
        </w:rPr>
        <w:lastRenderedPageBreak/>
        <w:t>Curepto; Región del Biobío, comunas de Concepción, Cañete, Alto Bío Bío y Chillán, y Región de la Araucanía, comunas de Temuco, Saavedra, Lonquimay y Loncoche. Relató que el año 2017 se continuará la implementación de los Planes Deportivos Comunales en nuevas comunas- alcanzando a 36-, que aún no se encuentran definidas, las que  serán seleccionadas considerando aquellas que hubieren participado en los diálogos ciudadanos, índice de pobreza, densidad de población, porcentaje de ruralidad, número de habitantes y mayor densidad de organizaciones deportivas.</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Explicó que los Planes Deportivos Comunales consideran la contratación de un Profesional para cada una de las Regiones mencionadas, cuya función es la de otorgar la asesoría técnica a las comunas con las cuales se suscribe un convenio, a objeto que las mismas desarrollen posteriormente los Planes Deportivos Comunales; refirió que adicionalmente se otorgan recursos provenientes del FONDEPORTE, con el propósito de apoyar las actividades deportivas que sean acordes con la línea del Plan de Desarrollo Comunal.</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El otro nuevo Programa, asociado al Subtítulo 24, es la asignación denominada Promoción de la Actividad Física y el Deporte, que considera recursos por $ 85.253 miles, cuyo objetivo es difundir los beneficios de la actividad física en la población escolar, más aún si se considera los altos índices de sedentarismo que presenta nuestra población infantil y juvenil. Puntualizó que si bien el  monto asignado es bajo, permitirá dar inicio a los correspondientes programas de difusión.</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 xml:space="preserve">El </w:t>
      </w:r>
      <w:r>
        <w:rPr>
          <w:rFonts w:eastAsia="Times New Roman" w:cs="Times New Roman"/>
          <w:b/>
          <w:szCs w:val="20"/>
          <w:lang w:val="es-ES" w:eastAsia="es-ES"/>
        </w:rPr>
        <w:t>Honorable Diputado señor Lorenzini</w:t>
      </w:r>
      <w:r>
        <w:rPr>
          <w:rFonts w:eastAsia="Times New Roman" w:cs="Times New Roman"/>
          <w:szCs w:val="20"/>
          <w:lang w:val="es-ES" w:eastAsia="es-ES"/>
        </w:rPr>
        <w:t xml:space="preserve"> expresó que este es un presupuesto muy reducido para cumplir con los propósitos que señaló la señora Subsecretaria, agregando que los Gastos en Personal son los más elevados, de manera que si se restasen estos recursos, la Subsecretaría del Deporte aparecería como una mera entidad coordinadora. Tanto es así, expresó, que además se le disminuyen notablemente los gastos en Bienes y Servicio de Consumo, y se le entregan recursos exiguos para la realización de los dos nuevos Programas a que aludió la señora Subsecretaria.</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Agregó que la comuna de Curepto, Región del Maule, presenta altos índices de obesidad, y sin embargo no se le asignan recursos para combatir el problema os, en tanto que se observa que sí hay recursos por un monto de $ 9.700.000 miles para la ejecución de Competencias Deportivas Internacionales, que durarán sólo una semana.</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 xml:space="preserve">El </w:t>
      </w:r>
      <w:r>
        <w:rPr>
          <w:rFonts w:eastAsia="Times New Roman" w:cs="Times New Roman"/>
          <w:b/>
          <w:szCs w:val="20"/>
          <w:lang w:val="es-ES" w:eastAsia="es-ES"/>
        </w:rPr>
        <w:t>Honorable Diputado señor Robles</w:t>
      </w:r>
      <w:r>
        <w:rPr>
          <w:rFonts w:eastAsia="Times New Roman" w:cs="Times New Roman"/>
          <w:szCs w:val="20"/>
          <w:lang w:val="es-ES" w:eastAsia="es-ES"/>
        </w:rPr>
        <w:t xml:space="preserve"> expresó su desacuerdo con la implementación de programas en 4 ó 5 regiones, señalando que existe un excesivo centralismo en el criterio utilizado para la asignación de recursos, lamentando que las Regiones del Norte no sean jamás beneficiarias de estos Programas, cuya explicación se origina, a su juicio, en la falta de ecuanimidad en los criterios de selección. Enseguida consultó a la señora Subsecretaria, las razones por las cuales no se distribuyen estos programas equitativamente en todas las Regiones del país, aseverando que en la Región de Atacama hay comunas que presentan las </w:t>
      </w:r>
      <w:r>
        <w:rPr>
          <w:rFonts w:eastAsia="Times New Roman" w:cs="Times New Roman"/>
          <w:szCs w:val="20"/>
          <w:lang w:val="es-ES" w:eastAsia="es-ES"/>
        </w:rPr>
        <w:lastRenderedPageBreak/>
        <w:t>mismas características de las 26 comunas seleccionadas y que, sin embargo, han quedado marginadas de este Programa.</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 xml:space="preserve">El </w:t>
      </w:r>
      <w:r>
        <w:rPr>
          <w:rFonts w:eastAsia="Times New Roman" w:cs="Times New Roman"/>
          <w:b/>
          <w:szCs w:val="20"/>
          <w:lang w:val="es-ES" w:eastAsia="es-ES"/>
        </w:rPr>
        <w:t>Honorable Diputado señor Núñez</w:t>
      </w:r>
      <w:r>
        <w:rPr>
          <w:rFonts w:eastAsia="Times New Roman" w:cs="Times New Roman"/>
          <w:szCs w:val="20"/>
          <w:lang w:val="es-ES" w:eastAsia="es-ES"/>
        </w:rPr>
        <w:t>, coincidió con los planteamientos del Diputado señor Robles, afirmando que le llama la atención que en la Región de Coquimbo no exista comuna alguna que sea beneficiaria de estos Programas, afirmando que aun cuando los recursos sean pocos,  es discutible la manera como se priorizan.</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 xml:space="preserve">La </w:t>
      </w:r>
      <w:r>
        <w:rPr>
          <w:rFonts w:eastAsia="Times New Roman" w:cs="Times New Roman"/>
          <w:b/>
          <w:szCs w:val="20"/>
          <w:lang w:val="es-ES" w:eastAsia="es-ES"/>
        </w:rPr>
        <w:t>señora Ministra del Deporte,</w:t>
      </w:r>
      <w:r>
        <w:rPr>
          <w:rFonts w:eastAsia="Times New Roman" w:cs="Times New Roman"/>
          <w:szCs w:val="20"/>
          <w:lang w:val="es-ES" w:eastAsia="es-ES"/>
        </w:rPr>
        <w:t xml:space="preserve"> manifestó que considerará los planteamientos efectuados por los integrantes de esta Subcomisión, en relación a los criterios empleados para determinar las comunas beneficiarias de los Planes Comunales de Deportes, comprometiéndose a efectuar una revisión de mismos para el año 2017, dentro de las restricciones presupuestarias existentes.</w:t>
      </w:r>
    </w:p>
    <w:p>
      <w:pPr>
        <w:tabs>
          <w:tab w:val="left" w:pos="2835"/>
        </w:tabs>
        <w:rPr>
          <w:rFonts w:eastAsia="Times New Roman" w:cs="Times New Roman"/>
          <w:szCs w:val="20"/>
          <w:lang w:val="es-ES" w:eastAsia="es-ES"/>
        </w:rPr>
      </w:pPr>
    </w:p>
    <w:p>
      <w:pPr>
        <w:tabs>
          <w:tab w:val="left" w:pos="2835"/>
        </w:tabs>
        <w:rPr>
          <w:rFonts w:eastAsia="Times New Roman" w:cs="Times New Roman"/>
          <w:b/>
          <w:i/>
          <w:szCs w:val="20"/>
          <w:lang w:val="es-ES" w:eastAsia="es-ES"/>
        </w:rPr>
      </w:pPr>
      <w:r>
        <w:rPr>
          <w:rFonts w:eastAsia="Times New Roman" w:cs="Times New Roman"/>
          <w:szCs w:val="20"/>
          <w:lang w:val="es-ES" w:eastAsia="es-ES"/>
        </w:rPr>
        <w:t xml:space="preserve">Ante una consulta del </w:t>
      </w:r>
      <w:r>
        <w:rPr>
          <w:rFonts w:eastAsia="Times New Roman" w:cs="Times New Roman"/>
          <w:b/>
          <w:szCs w:val="20"/>
          <w:lang w:val="es-ES" w:eastAsia="es-ES"/>
        </w:rPr>
        <w:t xml:space="preserve">Honorable Diputado señor Pilowsky, </w:t>
      </w:r>
      <w:r>
        <w:rPr>
          <w:rFonts w:eastAsia="Times New Roman" w:cs="Times New Roman"/>
          <w:szCs w:val="20"/>
          <w:lang w:val="es-ES" w:eastAsia="es-ES"/>
        </w:rPr>
        <w:t>referida a la distribución de los  $ 18.818 miles correspondientes a la Asignación Fondo de Promoción de la Actividad Física y Deporte, la señora Subsecretaria del Deporte aseveró que tales recursos están destinados a gestión administrativa, vale decir a contratar un coordinador a nivel nacional y cinco profesionales para regiones, aclarando que los recursos para el desarrollo del programa mismo provienen del FONDEPORTE, que se encuentra en el Instituto Nacional de Deportes.</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 xml:space="preserve">A continuación, el </w:t>
      </w:r>
      <w:r>
        <w:rPr>
          <w:rFonts w:eastAsia="Times New Roman" w:cs="Times New Roman"/>
          <w:b/>
          <w:szCs w:val="20"/>
          <w:lang w:val="es-ES" w:eastAsia="es-ES"/>
        </w:rPr>
        <w:t>Director Nacional del Instituto Nacional de Deportes (IND), señor Juan Carlos Cabezas</w:t>
      </w:r>
      <w:r>
        <w:rPr>
          <w:rFonts w:eastAsia="Times New Roman" w:cs="Times New Roman"/>
          <w:szCs w:val="20"/>
          <w:lang w:val="es-ES" w:eastAsia="es-ES"/>
        </w:rPr>
        <w:t>, expuso que el año 2017 el presupuesto del Instituto experimentará una reducción significativa en materia de inversión, lo que atribuyó a una nueva etapa del Instituto y a la escasa capacidad de ejecución que tiene el mismo. Tal disminución asciende al 6,3 %, y es notoria en el Subtítulo 31, que decrece en un  19%, en tanto que el Subtítulo 33, tiene una disminución del 67% en relación al año 2016.</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No obstante lo anterior, señaló que el resto de los presupuestos y los programas del Instituto experimentan una variación positiva del 15%, expresando que la construcción de este presupuesto corresponde a la lógica del trabajo interno que está desarrollando el IND.</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Contó que el año 2017 no habrá megaeventos deportivos internacionales, de manera que para  el Instituto será un  período de reflexión y de ordenamiento para la elaboración de los presupuestos futuros.</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También refirió que en los últimos Juegos Olímpicos se obtuvo resultados precarios, situación que generó diversas críticas, lo que da cuenta de la necesidad de comenzar a mirar el diseño del desarrollo del deporte con una visión de más largo plazo.</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 xml:space="preserve">El Instituto que dirige, reiteró, está preocupado de los deportistas y del fortalecimiento del desarrollo institucional, prueba de ello es que este Proyecto de Ley de Presupuestos ha autorizado el traspaso de </w:t>
      </w:r>
      <w:r>
        <w:rPr>
          <w:rFonts w:eastAsia="Times New Roman" w:cs="Times New Roman"/>
          <w:szCs w:val="20"/>
          <w:lang w:val="es-ES" w:eastAsia="es-ES"/>
        </w:rPr>
        <w:lastRenderedPageBreak/>
        <w:t>188 personas que se desempeñan a honorarios, a la contrata o la planta, situación que se traduce en un incremento en el Subtítulo 21 Gastos en Personal de un 18,2%, que provienen de programas que desaparecen y se traspasan al referido Subtítulo 21, circunstancia que consideró importante, atendida la precariedad con que se desempeñaba este personal.</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Otras tarea del Instituto, señaló, es la de procurar el fortalecimiento la relación con las Federaciones, entidades de carácter privado que se encuentran fuertemente cuestionadas, que la no ha sido fácil, puesto que algunas de ellas han sido objeto de un fuerte cuestionamiento y son objetos de querellas por mal uso de los recursos. Añadió que el INP cuenta con un programa que permite mantener, controlar y capacitar a las federaciones, labor que hasta la fecha realizan profesionales contratados a honorarios, y que a partir del 2017 se considerarán en calidad de contrata.</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Concluyendo con lo relativo a Gastos en Personal, señaló que el incremento del Subtítulo 21 Gastos en Personas, posibilitará la contratación de cinco funcionarios para otorgar apoyo médico y técnico a los deportistas del Centro de Alto Rendimiento de Valdivia.</w:t>
      </w:r>
    </w:p>
    <w:p>
      <w:pPr>
        <w:tabs>
          <w:tab w:val="left" w:pos="2835"/>
        </w:tabs>
        <w:ind w:firstLine="0"/>
        <w:rPr>
          <w:rFonts w:eastAsia="Times New Roman" w:cs="Times New Roman"/>
          <w:szCs w:val="20"/>
          <w:lang w:val="es-ES" w:eastAsia="es-ES"/>
        </w:rPr>
      </w:pPr>
    </w:p>
    <w:p>
      <w:pPr>
        <w:tabs>
          <w:tab w:val="left" w:pos="2835"/>
        </w:tabs>
        <w:ind w:firstLine="0"/>
        <w:rPr>
          <w:rFonts w:eastAsia="Times New Roman" w:cs="Times New Roman"/>
          <w:szCs w:val="20"/>
          <w:lang w:val="es-ES" w:eastAsia="es-ES"/>
        </w:rPr>
      </w:pPr>
      <w:r>
        <w:rPr>
          <w:rFonts w:eastAsia="Times New Roman" w:cs="Times New Roman"/>
          <w:szCs w:val="20"/>
          <w:lang w:val="es-ES" w:eastAsia="es-ES"/>
        </w:rPr>
        <w:tab/>
        <w:t>Luego aludió a la asignación 359 Sistema Nacional de Competencias Deportivas, señalando que para el año 2017 se incrementa en $2.098.184 miles, recursos que estarán destinados a fomentar competencias de nivel interno, permitiendo así que nuestros deportistas se estén probando permanentemente, muestren su potencial, y tengan el debido acompañamiento.</w:t>
      </w:r>
    </w:p>
    <w:p>
      <w:pPr>
        <w:tabs>
          <w:tab w:val="left" w:pos="2835"/>
        </w:tabs>
        <w:ind w:firstLine="0"/>
        <w:rPr>
          <w:rFonts w:eastAsia="Times New Roman" w:cs="Times New Roman"/>
          <w:szCs w:val="20"/>
          <w:lang w:val="es-ES" w:eastAsia="es-ES"/>
        </w:rPr>
      </w:pPr>
    </w:p>
    <w:p>
      <w:pPr>
        <w:tabs>
          <w:tab w:val="left" w:pos="2835"/>
        </w:tabs>
        <w:ind w:firstLine="0"/>
        <w:rPr>
          <w:rFonts w:eastAsia="Times New Roman" w:cs="Times New Roman"/>
          <w:szCs w:val="20"/>
          <w:lang w:val="es-ES" w:eastAsia="es-ES"/>
        </w:rPr>
      </w:pPr>
      <w:r>
        <w:rPr>
          <w:rFonts w:eastAsia="Times New Roman" w:cs="Times New Roman"/>
          <w:szCs w:val="20"/>
          <w:lang w:val="es-ES" w:eastAsia="es-ES"/>
        </w:rPr>
        <w:tab/>
        <w:t>Sin perjuicio de lo anterior, destacó que para el año 2017 se mantendrán las competencias escolares que se realizan en 7 disciplinas a lo largo del país, explicando que las mismas se inician en el  nivel escolar, luego pasan a nivel de provincias y regiones, para finalizar con un gran torneo nacional, en el que compiten niños cuyas edades fluctúan entre los 12 y 14 años, grupo del cual debieran emerger los deportistas del futuro, agregando que en el torneo efectuado recientemente en Puerto Montt, participaron  3.000 niños.</w:t>
      </w:r>
    </w:p>
    <w:p>
      <w:pPr>
        <w:tabs>
          <w:tab w:val="left" w:pos="2835"/>
        </w:tabs>
        <w:ind w:firstLine="0"/>
        <w:rPr>
          <w:rFonts w:eastAsia="Times New Roman" w:cs="Times New Roman"/>
          <w:szCs w:val="20"/>
          <w:lang w:val="es-ES" w:eastAsia="es-ES"/>
        </w:rPr>
      </w:pPr>
    </w:p>
    <w:p>
      <w:pPr>
        <w:tabs>
          <w:tab w:val="left" w:pos="2835"/>
        </w:tabs>
        <w:ind w:firstLine="0"/>
        <w:rPr>
          <w:rFonts w:eastAsia="Times New Roman" w:cs="Times New Roman"/>
          <w:szCs w:val="20"/>
          <w:highlight w:val="yellow"/>
          <w:lang w:val="es-ES" w:eastAsia="es-ES"/>
        </w:rPr>
      </w:pPr>
      <w:r>
        <w:rPr>
          <w:rFonts w:eastAsia="Times New Roman" w:cs="Times New Roman"/>
          <w:szCs w:val="20"/>
          <w:lang w:val="es-ES" w:eastAsia="es-ES"/>
        </w:rPr>
        <w:tab/>
        <w:t xml:space="preserve">El </w:t>
      </w:r>
      <w:r>
        <w:rPr>
          <w:rFonts w:eastAsia="Times New Roman" w:cs="Times New Roman"/>
          <w:b/>
          <w:szCs w:val="20"/>
          <w:lang w:val="es-ES" w:eastAsia="es-ES"/>
        </w:rPr>
        <w:t>Honorable Diputado señor Núñez,</w:t>
      </w:r>
      <w:r>
        <w:rPr>
          <w:rFonts w:eastAsia="Times New Roman" w:cs="Times New Roman"/>
          <w:szCs w:val="20"/>
          <w:lang w:val="es-ES" w:eastAsia="es-ES"/>
        </w:rPr>
        <w:t xml:space="preserve"> consultó las razones por las cuales la Asignación 361 Programa de Normalización de Infraestructura Deportiva experimenta una disminución de los recursos asignados del orden del 83,1%, </w:t>
      </w:r>
    </w:p>
    <w:p>
      <w:pPr>
        <w:tabs>
          <w:tab w:val="left" w:pos="2835"/>
        </w:tabs>
        <w:rPr>
          <w:rFonts w:eastAsia="Times New Roman" w:cs="Times New Roman"/>
          <w:b/>
          <w:szCs w:val="20"/>
          <w:lang w:val="es-ES" w:eastAsia="es-ES"/>
        </w:rPr>
      </w:pPr>
    </w:p>
    <w:p>
      <w:pPr>
        <w:tabs>
          <w:tab w:val="left" w:pos="2835"/>
        </w:tabs>
        <w:rPr>
          <w:rFonts w:eastAsia="Times New Roman" w:cs="Times New Roman"/>
          <w:szCs w:val="20"/>
          <w:lang w:val="es-ES" w:eastAsia="es-ES"/>
        </w:rPr>
      </w:pPr>
      <w:r>
        <w:rPr>
          <w:rFonts w:eastAsia="Times New Roman" w:cs="Times New Roman"/>
          <w:b/>
          <w:szCs w:val="20"/>
          <w:lang w:val="es-ES" w:eastAsia="es-ES"/>
        </w:rPr>
        <w:t xml:space="preserve">El Director Nacional del Instituto Nacional de Deportes (IND), señor Juan Carlos Cabezas </w:t>
      </w:r>
      <w:r>
        <w:rPr>
          <w:rFonts w:eastAsia="Times New Roman" w:cs="Times New Roman"/>
          <w:szCs w:val="20"/>
          <w:lang w:val="es-ES" w:eastAsia="es-ES"/>
        </w:rPr>
        <w:t>explicó que la señalada asignación 361, vinculada al Subtítulo 24 Transferencias Corrientes, obedece en parte al traspaso de funcionarios a honorarios a la calidad de contrata (aproximadamente $ 200.000 miles); en tanto que el resto corresponde a una efectiva rebaja de las inversiones en infraestructura.</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 xml:space="preserve">El </w:t>
      </w:r>
      <w:r>
        <w:rPr>
          <w:rFonts w:eastAsia="Times New Roman" w:cs="Times New Roman"/>
          <w:b/>
          <w:szCs w:val="20"/>
          <w:lang w:val="es-ES" w:eastAsia="es-ES"/>
        </w:rPr>
        <w:t>Honorable Diputado señor Pilowsky</w:t>
      </w:r>
      <w:r>
        <w:rPr>
          <w:rFonts w:eastAsia="Times New Roman" w:cs="Times New Roman"/>
          <w:szCs w:val="20"/>
          <w:lang w:val="es-ES" w:eastAsia="es-ES"/>
        </w:rPr>
        <w:t xml:space="preserve"> coincidió con el señor Director en cuanto a que la planificación de la infraestructura constituye un ciclo que requiere reflexión y tiempo, no obstante lo anterior, </w:t>
      </w:r>
      <w:r>
        <w:rPr>
          <w:rFonts w:eastAsia="Times New Roman" w:cs="Times New Roman"/>
          <w:szCs w:val="20"/>
          <w:lang w:val="es-ES" w:eastAsia="es-ES"/>
        </w:rPr>
        <w:lastRenderedPageBreak/>
        <w:t>puntualizó que la debilidad del IND radica en la falta de capacidad para ejecutar los proyectos de inversión.</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Lo anterior, se corrobora al observar que el Presupuesto 2015, asignó recursos por $52.000.000 miles para infraestructura deportiva, y que finalmente el IND ejecuto sólo el equivalente a un 42% del monto asignado, lo que en la práctica implica la pérdida de $ 32.000.000 miles en materia de infraestructura pública deportiva. Agregó que en la oportunidad, la Comisión de Deportes de la Cámara de Diputados, se reunió con las Autoridades del Ministerio, quienes aseveraron que al año siguiente se solucionaría el problema.</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Sin embargo el año 2016 ocurrió lo mismo en materia de inversión, motivo por el cual la Comisión Especial Mixta de Presupuestos le rebajó el presupuesto de inversión significativamente, y para el próximo año se le ha restado casi $ 20.000.000 miles, que obedece también al nulo avance de la ejecución de los proyectos.</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 xml:space="preserve">Continuó expresando su preocupación por el análisis que efectúan las autoridades del Ministerio, quienes se refieren a números e ítems de carácter menor, evitando efectuar el análisis sobre  la disminución de los Subtítulos 31 y 33, que constituyen los ítems más relevantes del presupuesto, cuyo incumplimiento se traduce en la inobservancia del compromiso asumido por el Gobierno, en orden a construir 30 centros polideportivos integrales desde Arica a Punta Arenas, dejando así a más de 23 comunas sin estos centros. </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Por lo anterior, solicitó se efectué un desglose de los Subtítulos 31 y 33, ya que la información relevante no le ha sido entregada a esta Subcomisión.</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 xml:space="preserve">El </w:t>
      </w:r>
      <w:r>
        <w:rPr>
          <w:rFonts w:eastAsia="Times New Roman" w:cs="Times New Roman"/>
          <w:b/>
          <w:szCs w:val="20"/>
          <w:lang w:val="es-ES" w:eastAsia="es-ES"/>
        </w:rPr>
        <w:t xml:space="preserve">Honorable Diputado señor Lorenzini </w:t>
      </w:r>
      <w:r>
        <w:rPr>
          <w:rFonts w:eastAsia="Times New Roman" w:cs="Times New Roman"/>
          <w:szCs w:val="20"/>
          <w:lang w:val="es-ES" w:eastAsia="es-ES"/>
        </w:rPr>
        <w:t>coincidió con lo expresado por el Diputado señor Pilowsky, agregando que es incomprensible construir grandes estadios ubicados en unas pocas comunas, en circunstancias que la ciudadanía demanda infraestructura para la práctica del deporte en todas las comunas del país, destacando la discrepancia en el enfoque que mantiene con el Ministerio del Deporte en ésta y otras materias.</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 xml:space="preserve">El </w:t>
      </w:r>
      <w:r>
        <w:rPr>
          <w:rFonts w:eastAsia="Times New Roman" w:cs="Times New Roman"/>
          <w:b/>
          <w:szCs w:val="20"/>
          <w:lang w:val="es-ES" w:eastAsia="es-ES"/>
        </w:rPr>
        <w:t>Honorable Diputado señor Robles</w:t>
      </w:r>
      <w:r>
        <w:rPr>
          <w:rFonts w:eastAsia="Times New Roman" w:cs="Times New Roman"/>
          <w:szCs w:val="20"/>
          <w:lang w:val="es-ES" w:eastAsia="es-ES"/>
        </w:rPr>
        <w:t xml:space="preserve"> reiteró su disconformidad con el criterio centralista que inspira la adopción de las decisiones, enfatizando que las comunas de todo el país requieren el desarrollo de la formación de deportistas, y que los recursos no deben asignarse en consideración a cobertura demográfica u otros criterios, representando una vez más la inequidad para con los jóvenes y niños deportistas de la Región de Atacama, a los que se les priva del desarrollo de sus habilidades deportivas, debiendo sobrevivir sin ayuda alguna. Lo anterior, debido a  la ausencia de una mirada nacional sobre el tema, no divisando razón alguna para privilegiar algunas regiones sobre otras.</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 xml:space="preserve">Enseguida, señaló que la Presidenta de la República se comprometió a postular a nuestro país como sede de los Juegos Panamericanos 2023, lo que le daría una proyección a largo plazo al </w:t>
      </w:r>
      <w:r>
        <w:rPr>
          <w:rFonts w:eastAsia="Times New Roman" w:cs="Times New Roman"/>
          <w:szCs w:val="20"/>
          <w:lang w:val="es-ES" w:eastAsia="es-ES"/>
        </w:rPr>
        <w:lastRenderedPageBreak/>
        <w:t>deporte, consultando las razones por las cuales los recursos para ello no se consideran en este Proyecto de Presupuestos, arguyendo, además, que además existe una infraestructura deportiva que debe ser utilizada.</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Finalmente expresó que junto con diseñar y construir una infraestructura deportiva, es preciso presupuestar los recursos para contratación del personal encargado de su mantención, aseverando que no puede suceder lo que ocurrió en el recién inaugurado Centro de Rendimiento de Copiapó, al que se le dotó de una sola persona para la atención del mismo, en circunstancias que estaba considerada la contratación de siete funcionarios para tales efectos.</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 xml:space="preserve">El </w:t>
      </w:r>
      <w:r>
        <w:rPr>
          <w:rFonts w:eastAsia="Times New Roman" w:cs="Times New Roman"/>
          <w:b/>
          <w:szCs w:val="20"/>
          <w:lang w:val="es-ES" w:eastAsia="es-ES"/>
        </w:rPr>
        <w:t>Honorable</w:t>
      </w:r>
      <w:r>
        <w:rPr>
          <w:rFonts w:eastAsia="Times New Roman" w:cs="Times New Roman"/>
          <w:szCs w:val="20"/>
          <w:lang w:val="es-ES" w:eastAsia="es-ES"/>
        </w:rPr>
        <w:t xml:space="preserve"> </w:t>
      </w:r>
      <w:r>
        <w:rPr>
          <w:rFonts w:eastAsia="Times New Roman" w:cs="Times New Roman"/>
          <w:b/>
          <w:szCs w:val="20"/>
          <w:lang w:val="es-ES" w:eastAsia="es-ES"/>
        </w:rPr>
        <w:t>Diputado señor Núñez</w:t>
      </w:r>
      <w:r>
        <w:rPr>
          <w:rFonts w:eastAsia="Times New Roman" w:cs="Times New Roman"/>
          <w:szCs w:val="20"/>
          <w:lang w:val="es-ES" w:eastAsia="es-ES"/>
        </w:rPr>
        <w:t xml:space="preserve"> expresó que efectivamente el problema del IND radica en la dificultad que tiene para invertir recursos en infraestructura, advirtiendo que ello se refleja en el incumplimiento del compromiso del Gobierno de construir 30 Centros de Desarrollo Integral, ya que sólo se construyeron siete, existiendo postergación en el trato a los ciudadanos de las comunas en las que no se concretó la construcción.</w:t>
      </w:r>
    </w:p>
    <w:p>
      <w:pPr>
        <w:tabs>
          <w:tab w:val="left" w:pos="2835"/>
        </w:tabs>
        <w:rPr>
          <w:rFonts w:eastAsia="Times New Roman" w:cs="Times New Roman"/>
          <w:szCs w:val="20"/>
          <w:lang w:val="es-ES" w:eastAsia="es-ES"/>
        </w:rPr>
      </w:pPr>
    </w:p>
    <w:p>
      <w:pPr>
        <w:tabs>
          <w:tab w:val="left" w:pos="2835"/>
        </w:tabs>
        <w:rPr>
          <w:rFonts w:eastAsia="Times New Roman" w:cs="Times New Roman"/>
          <w:szCs w:val="20"/>
          <w:highlight w:val="yellow"/>
          <w:lang w:val="es-ES" w:eastAsia="es-ES"/>
        </w:rPr>
      </w:pPr>
      <w:r>
        <w:rPr>
          <w:rFonts w:eastAsia="Times New Roman" w:cs="Times New Roman"/>
          <w:szCs w:val="20"/>
          <w:lang w:val="es-ES" w:eastAsia="es-ES"/>
        </w:rPr>
        <w:t>Por lo anterior, planteó a la señora Ministra del Deporte, la posibilidad de compensar a las comunas en las que se proyectaba la construcción de un CDI, con algún apoyo de infraestructura pequeña que pueda efectuarse en el corto o mediano plazo, como sería la instalación de pasto sintético en canchas deportivas que se encuentran en bienes nacionales de uso público, aspiración muy sentida en el distrito que representa.</w:t>
      </w:r>
    </w:p>
    <w:p>
      <w:pPr>
        <w:tabs>
          <w:tab w:val="left" w:pos="2835"/>
        </w:tabs>
        <w:rPr>
          <w:rFonts w:eastAsia="Times New Roman" w:cs="Times New Roman"/>
          <w:szCs w:val="20"/>
          <w:highlight w:val="yellow"/>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 xml:space="preserve">El </w:t>
      </w:r>
      <w:r>
        <w:rPr>
          <w:rFonts w:eastAsia="Times New Roman" w:cs="Times New Roman"/>
          <w:b/>
          <w:szCs w:val="20"/>
          <w:lang w:val="es-ES" w:eastAsia="es-ES"/>
        </w:rPr>
        <w:t xml:space="preserve">Honorable Diputado señor Brown </w:t>
      </w:r>
      <w:r>
        <w:rPr>
          <w:rFonts w:eastAsia="Times New Roman" w:cs="Times New Roman"/>
          <w:szCs w:val="20"/>
          <w:lang w:val="es-ES" w:eastAsia="es-ES"/>
        </w:rPr>
        <w:t>expresó su asombro por la insistencia del Gobierno para iniciar la construcción de estadios regionales para el fútbol profesional, aseverando que de ello debieran hacerse cargo las organizaciones privadas del fútbol profesional. Enfatizó que para clubes del fútbol profesional hay recursos, en tanto que no los hay para formación de deportistas, ni para la construcción de una política deportiva contundente en el largo plazo, reiterando lo planteado en la Comisión de Deportes de la Cámara de Diputados, en cuanto a que votará en contra de cualquier iniciativa para la construcción de recintos que son utilizados por clubes privados.</w:t>
      </w:r>
    </w:p>
    <w:p>
      <w:pPr>
        <w:tabs>
          <w:tab w:val="left" w:pos="2835"/>
        </w:tabs>
        <w:rPr>
          <w:rFonts w:eastAsia="Times New Roman" w:cs="Times New Roman"/>
          <w:szCs w:val="20"/>
          <w:highlight w:val="yellow"/>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 xml:space="preserve">El </w:t>
      </w:r>
      <w:r>
        <w:rPr>
          <w:rFonts w:eastAsia="Times New Roman" w:cs="Times New Roman"/>
          <w:b/>
          <w:szCs w:val="20"/>
          <w:lang w:val="es-ES" w:eastAsia="es-ES"/>
        </w:rPr>
        <w:t>Honorable Diputado señor Lorenzini</w:t>
      </w:r>
      <w:r>
        <w:rPr>
          <w:rFonts w:eastAsia="Times New Roman" w:cs="Times New Roman"/>
          <w:szCs w:val="20"/>
          <w:lang w:val="es-ES" w:eastAsia="es-ES"/>
        </w:rPr>
        <w:t xml:space="preserve"> expresó que ha quedado de manifiesto que la Subcomisión y el Ministerio del Deporte se inspiran en conceptos y tienen planteamientos distintos sobre la adecuada asignación de los recursos en materia deportiva.</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 xml:space="preserve">La </w:t>
      </w:r>
      <w:r>
        <w:rPr>
          <w:rFonts w:eastAsia="Times New Roman" w:cs="Times New Roman"/>
          <w:b/>
          <w:szCs w:val="20"/>
          <w:lang w:val="es-ES" w:eastAsia="es-ES"/>
        </w:rPr>
        <w:t>señora Ministra del Deporte</w:t>
      </w:r>
      <w:r>
        <w:rPr>
          <w:rFonts w:eastAsia="Times New Roman" w:cs="Times New Roman"/>
          <w:szCs w:val="20"/>
          <w:lang w:val="es-ES" w:eastAsia="es-ES"/>
        </w:rPr>
        <w:t>, concordó con los planteamientos efectuados respecto a las Secretarías Regionales Ministeriales, en cuanto a que éstas no pueden funcionar adecuadamente con tres personas, precisando que la Cartera a su cargo ha realizado un esfuerzo para completar la dotación de las SEREMIS del país, que no fueron consideradas debidamente en la institucionalidad que creó el Ministerio.</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lastRenderedPageBreak/>
        <w:t xml:space="preserve">El </w:t>
      </w:r>
      <w:r>
        <w:rPr>
          <w:rFonts w:eastAsia="Times New Roman" w:cs="Times New Roman"/>
          <w:b/>
          <w:szCs w:val="20"/>
          <w:lang w:val="es-ES" w:eastAsia="es-ES"/>
        </w:rPr>
        <w:t xml:space="preserve">Honorable Diputado Lorenzini </w:t>
      </w:r>
      <w:r>
        <w:rPr>
          <w:rFonts w:eastAsia="Times New Roman" w:cs="Times New Roman"/>
          <w:szCs w:val="20"/>
          <w:lang w:val="es-ES" w:eastAsia="es-ES"/>
        </w:rPr>
        <w:t>discrepó con la señora  Ministra, aseverando que la creación del Ministerio del Deporte obedeció a la necesidad de ordenar los recursos del IND, cuyos montos eran cuantiosos, a fin de potenciar la estructura del Ministerio y de la Subsecretaria, y que nada hacía suponer que los recursos continuarían siendo asignados y ejecutados en el IND.</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 xml:space="preserve">La </w:t>
      </w:r>
      <w:r>
        <w:rPr>
          <w:rFonts w:eastAsia="Times New Roman" w:cs="Times New Roman"/>
          <w:b/>
          <w:szCs w:val="20"/>
          <w:lang w:val="es-ES" w:eastAsia="es-ES"/>
        </w:rPr>
        <w:t>señora Ministra del Deporte</w:t>
      </w:r>
      <w:r>
        <w:rPr>
          <w:rFonts w:eastAsia="Times New Roman" w:cs="Times New Roman"/>
          <w:szCs w:val="20"/>
          <w:lang w:val="es-ES" w:eastAsia="es-ES"/>
        </w:rPr>
        <w:t xml:space="preserve">, manifestó que la institucionalización es un proceso que no ha sido fácil, atendida, entre otros factores, la cultura organizacional del Instituto, advirtiendo que el Ministerio ha desplegado esfuerzos para trasladar paulatinamente Programas desde el Instituto del Deporte al Ministerio. </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En relación a los Juegos Panamericanos afirmó que no existe compromiso de la Presidenta de la República para postular a nuestro país como sede, existiendo sí el compromiso de evaluar la postulación. Refirió que el proceso tiene un buen grado de avance, contando que se han realizado reuniones con el Ministerio de la Vivienda y Urbanismo, con miras a la construcción de la Villa que albergaría a los deportistas, comprometiéndose a entregar una respuesta en enero de 2017.</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 xml:space="preserve">El </w:t>
      </w:r>
      <w:r>
        <w:rPr>
          <w:rFonts w:eastAsia="Times New Roman" w:cs="Times New Roman"/>
          <w:b/>
          <w:szCs w:val="20"/>
          <w:lang w:val="es-ES" w:eastAsia="es-ES"/>
        </w:rPr>
        <w:t>señor</w:t>
      </w:r>
      <w:r>
        <w:rPr>
          <w:rFonts w:eastAsia="Times New Roman" w:cs="Times New Roman"/>
          <w:szCs w:val="20"/>
          <w:lang w:val="es-ES" w:eastAsia="es-ES"/>
        </w:rPr>
        <w:t xml:space="preserve"> </w:t>
      </w:r>
      <w:r>
        <w:rPr>
          <w:rFonts w:eastAsia="Times New Roman" w:cs="Times New Roman"/>
          <w:b/>
          <w:szCs w:val="20"/>
          <w:lang w:val="es-ES" w:eastAsia="es-ES"/>
        </w:rPr>
        <w:t xml:space="preserve">Director del Instituto Nacional de Deportes </w:t>
      </w:r>
      <w:r>
        <w:rPr>
          <w:rFonts w:eastAsia="Times New Roman" w:cs="Times New Roman"/>
          <w:szCs w:val="20"/>
          <w:lang w:val="es-ES" w:eastAsia="es-ES"/>
        </w:rPr>
        <w:t xml:space="preserve">expresó que la resolución de materias tales como el traspaso de personal desde el Instituto a la Subsecretaría, constituyen esfuerzos por avanzar en la institucionalización, y son relevantes para el Servicio, puesto que una entidad débil que no es capaz de desarrollar su trabajo en forma adecuada, tendrá problemas como los que ha tenido el IND hasta la fecha. </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 xml:space="preserve">Agregó que actualmente el Instituto está ejecutando cinco Centros de Desarrollo Integral, y que el año 2017 ejecutarán tres más, opinando que no solo la infraestructura es relevante, sino que también lo son los Programas que van en apoyo al desarrollo de nuestros  deportistas.  </w:t>
      </w:r>
    </w:p>
    <w:p>
      <w:pPr>
        <w:tabs>
          <w:tab w:val="left" w:pos="2835"/>
        </w:tabs>
        <w:rPr>
          <w:rFonts w:eastAsia="Times New Roman" w:cs="Times New Roman"/>
          <w:szCs w:val="20"/>
          <w:highlight w:val="yellow"/>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Concluyó aseverando que es importante realizar una pausa para reflexionar sobre el diseño estratégico de largo plazo en los temas planteados, relevando la necesidad de llegar a un formato de ventanilla única en la asignación de los recursos.</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 xml:space="preserve">El </w:t>
      </w:r>
      <w:r>
        <w:rPr>
          <w:rFonts w:eastAsia="Times New Roman" w:cs="Times New Roman"/>
          <w:b/>
          <w:szCs w:val="20"/>
          <w:lang w:val="es-ES" w:eastAsia="es-ES"/>
        </w:rPr>
        <w:t xml:space="preserve">Honorable Diputado señor Romilio Gutiérrez, </w:t>
      </w:r>
      <w:r>
        <w:rPr>
          <w:rFonts w:eastAsia="Times New Roman" w:cs="Times New Roman"/>
          <w:szCs w:val="20"/>
          <w:lang w:val="es-ES" w:eastAsia="es-ES"/>
        </w:rPr>
        <w:t xml:space="preserve">opinó que en la asignación de recursos se requiere claridad, ya que el Ministerio ha efectuado ofrecimientos en regiones para construir 35 centros polideportivos, en circunstancias que al término del Gobierno apenas se concluirán 5, consultando quién y cómo va a responder a esas comunidades y a sus deportistas, ya que hay comunas, provincias y regiones que carecen de infraestructura, y requieren  inversión a la brevedad. </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Enfatizó la necesidad de que el Ministerio efectúe una propuesta sobre la manera cómo conciliará los temas de infraestructura con los programas masivos que van en beneficio del desarrollo de nuestros deportistas, y la masificación del deporte.</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lastRenderedPageBreak/>
        <w:t>Enseguida consultó a la señora Ministra que ocurrirá con la infraestructura de los clubes amateurs, ya que se abrió una línea en el Programa Chile Estadios que fue bien valorada, sobre la cual no existe ninguna línea de apoyo en este proyecto de presupuestos, habiéndose comprometido el Ministerio a estudiar una fórmula para apoyar a los clubes amateurs que requieren camarines, cierre perimetrales, empastamiento de canchas, y una serie de elementos que permitirán la masificación del deporte.</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 xml:space="preserve">El </w:t>
      </w:r>
      <w:r>
        <w:rPr>
          <w:rFonts w:eastAsia="Times New Roman" w:cs="Times New Roman"/>
          <w:b/>
          <w:szCs w:val="20"/>
          <w:lang w:val="es-ES" w:eastAsia="es-ES"/>
        </w:rPr>
        <w:t>Diputado señor Pilowsky</w:t>
      </w:r>
      <w:r>
        <w:rPr>
          <w:rFonts w:eastAsia="Times New Roman" w:cs="Times New Roman"/>
          <w:szCs w:val="20"/>
          <w:lang w:val="es-ES" w:eastAsia="es-ES"/>
        </w:rPr>
        <w:t xml:space="preserve"> solicitó al Ministerio de Hacienda considerar la reasignación de recursos en el caso de aquellos fondos para inversión que no se alcanzan a ejecutar dentro del año presupuestario, afirmando que con los fondos no ejecutados de los años anteriores, se podrían haber realizado o mejorado un sinnúmero de multicanchas en el país.</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 xml:space="preserve">Además, se refirió a la situación de aquellas Federaciones que se encuentran inhabilitadas para recibir recursos públicos, las que se efectúan a través  del Comité Olímpico de Chile o el Comité  Paraolímpico, puntualizando que el Comité solo puede traspasar estos recursos a través de los PDE (Programa de Desarrollo Estratégico), no puede hacerlo con los PDA (Programas de Administración) de manera que no pueden pagar las remuneraciones de su personal, </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Enseguida, presentó una indicación para incorporar en el Capítulo 02, Programa 01, Instituto Nacional de Deportes, una Glosa del siguiente tenor:</w:t>
      </w:r>
    </w:p>
    <w:p>
      <w:pPr>
        <w:tabs>
          <w:tab w:val="left" w:pos="2835"/>
        </w:tabs>
        <w:rPr>
          <w:rFonts w:eastAsia="Times New Roman" w:cs="Times New Roman"/>
          <w:b/>
          <w:szCs w:val="20"/>
          <w:lang w:val="es-ES" w:eastAsia="es-ES"/>
        </w:rPr>
      </w:pPr>
    </w:p>
    <w:p>
      <w:pPr>
        <w:tabs>
          <w:tab w:val="left" w:pos="2835"/>
        </w:tabs>
        <w:rPr>
          <w:rFonts w:eastAsia="Times New Roman" w:cs="Times New Roman"/>
          <w:b/>
          <w:szCs w:val="20"/>
          <w:lang w:val="es-ES" w:eastAsia="es-ES"/>
        </w:rPr>
      </w:pPr>
      <w:r>
        <w:rPr>
          <w:rFonts w:eastAsia="Times New Roman" w:cs="Times New Roman"/>
          <w:b/>
          <w:szCs w:val="20"/>
          <w:lang w:val="es-ES" w:eastAsia="es-ES"/>
        </w:rPr>
        <w:t>“Cuando existiere una federación que esté inhabilitada de recibir aportes públicos, el Instituto Nacional de Deportes estará autorizado a traspasar los recursos al Comité Olímpico de Chile o al Comité Paraolímpico, se trate de Programas de Desarrollo Estratégico o de Programas de Administración o cualquier otro tipo de recursos.”</w:t>
      </w:r>
    </w:p>
    <w:p>
      <w:pPr>
        <w:tabs>
          <w:tab w:val="left" w:pos="2835"/>
        </w:tabs>
        <w:rPr>
          <w:rFonts w:eastAsia="Times New Roman" w:cs="Times New Roman"/>
          <w:b/>
          <w:szCs w:val="20"/>
          <w:lang w:val="es-ES" w:eastAsia="es-ES"/>
        </w:rPr>
      </w:pPr>
    </w:p>
    <w:p>
      <w:pPr>
        <w:tabs>
          <w:tab w:val="left" w:pos="2835"/>
        </w:tabs>
        <w:rPr>
          <w:rFonts w:eastAsia="Times New Roman" w:cs="Times New Roman"/>
          <w:b/>
          <w:szCs w:val="20"/>
          <w:lang w:val="es-ES" w:eastAsia="es-ES"/>
        </w:rPr>
      </w:pPr>
      <w:r>
        <w:rPr>
          <w:rFonts w:eastAsia="Times New Roman" w:cs="Times New Roman"/>
          <w:b/>
          <w:szCs w:val="20"/>
          <w:lang w:val="es-ES" w:eastAsia="es-ES"/>
        </w:rPr>
        <w:t>--El señor Presidente de la Subcomisión, declaró inadmisible la indicación, por ser contraria a lo dispuesto en el inciso tercero del artículo 65 de  la Constitución Política de la República.</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La Comisión coincidió con los planteamientos efectuados por el Honorable Senador señor Pilowsky, razón por la cual acordó solicitar al Ministerio de Hacienda, estudie la factibilidad de incorporar una Glosa en el Programa correspondiente, que faculte al Instituto Nacional del Deporte para traspasar recursos a los referidos Comités, bajo cualquier modalidad, a objeto que los respectivos Comité lo traspasen a las Federaciones respectivas.</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 xml:space="preserve">El </w:t>
      </w:r>
      <w:r>
        <w:rPr>
          <w:rFonts w:eastAsia="Times New Roman" w:cs="Times New Roman"/>
          <w:b/>
          <w:szCs w:val="20"/>
          <w:lang w:val="es-ES" w:eastAsia="es-ES"/>
        </w:rPr>
        <w:t xml:space="preserve">Honorable Diputado señor Lorenzini </w:t>
      </w:r>
      <w:r>
        <w:rPr>
          <w:rFonts w:eastAsia="Times New Roman" w:cs="Times New Roman"/>
          <w:szCs w:val="20"/>
          <w:lang w:val="es-ES" w:eastAsia="es-ES"/>
        </w:rPr>
        <w:t xml:space="preserve">recordó a las Autoridades del Ministerio, que se encuentra pendiente la siguiente información: en relación al cumplimiento de las Glosa O3 del Instituto Nacional de Deportes, el listado de las boletas de garantías susceptibles de </w:t>
      </w:r>
      <w:r>
        <w:rPr>
          <w:rFonts w:eastAsia="Times New Roman" w:cs="Times New Roman"/>
          <w:szCs w:val="20"/>
          <w:lang w:val="es-ES" w:eastAsia="es-ES"/>
        </w:rPr>
        <w:lastRenderedPageBreak/>
        <w:t>ser ejecutadas; en relación a la Glosa 06 del Instituto Nacional de Deportes, la distribución regional y comunal de los proyectos que incluye la Glosa, y respecto de la Glosa 12 del mismo Instituto, el estado de avance de cada proyecto de infraestructura.</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Cabe dejar constancia que con posterioridad a la sesión de la Subcomisión, se recibió en la Unidad de Asesoría Presupuestaria la referida información.</w:t>
      </w:r>
    </w:p>
    <w:p>
      <w:pPr>
        <w:tabs>
          <w:tab w:val="left" w:pos="2835"/>
        </w:tabs>
        <w:rPr>
          <w:rFonts w:eastAsia="Times New Roman" w:cs="Times New Roman"/>
          <w:szCs w:val="20"/>
          <w:lang w:val="es-ES" w:eastAsia="es-ES"/>
        </w:rPr>
      </w:pPr>
    </w:p>
    <w:p>
      <w:pPr>
        <w:tabs>
          <w:tab w:val="left" w:pos="2835"/>
        </w:tabs>
        <w:rPr>
          <w:rFonts w:eastAsia="Times New Roman"/>
          <w:b/>
          <w:lang w:val="es-ES" w:eastAsia="es-ES"/>
        </w:rPr>
      </w:pPr>
      <w:r>
        <w:rPr>
          <w:rFonts w:eastAsia="Times New Roman"/>
          <w:b/>
          <w:lang w:val="es-ES" w:eastAsia="es-ES"/>
        </w:rPr>
        <w:t>- - -</w:t>
      </w:r>
    </w:p>
    <w:p>
      <w:pPr>
        <w:rPr>
          <w:rFonts w:eastAsia="Times New Roman" w:cs="Times New Roman"/>
          <w:b/>
          <w:szCs w:val="20"/>
          <w:lang w:val="es-ES" w:eastAsia="es-ES"/>
        </w:rPr>
      </w:pPr>
    </w:p>
    <w:p>
      <w:pPr>
        <w:tabs>
          <w:tab w:val="left" w:pos="2835"/>
        </w:tabs>
        <w:rPr>
          <w:rFonts w:eastAsia="Times New Roman" w:cs="Times New Roman"/>
          <w:b/>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A continuación se dio lectura a la Indicación presentada por los Honorables Diputados señores Robles y Lorenzini, cuyo tenor es el siguiente: Para reemplazar en la Glosa 07 del Capítulo 02, Instituto Nacional de Deportes, Programa 01 de la Partida 26, la expresión “alta cobertura demográfica” por la frase “presencia en todas las regiones del país”.</w:t>
      </w:r>
    </w:p>
    <w:p>
      <w:pPr>
        <w:tabs>
          <w:tab w:val="left" w:pos="2835"/>
        </w:tabs>
        <w:rPr>
          <w:rFonts w:eastAsia="Times New Roman" w:cs="Times New Roman"/>
          <w:szCs w:val="20"/>
          <w:lang w:val="es-ES" w:eastAsia="es-ES"/>
        </w:rPr>
      </w:pPr>
    </w:p>
    <w:p>
      <w:pPr>
        <w:tabs>
          <w:tab w:val="left" w:pos="2835"/>
        </w:tabs>
        <w:rPr>
          <w:rFonts w:eastAsia="Times New Roman" w:cs="Times New Roman"/>
          <w:b/>
          <w:szCs w:val="20"/>
          <w:lang w:val="es-ES" w:eastAsia="es-ES"/>
        </w:rPr>
      </w:pPr>
      <w:r>
        <w:rPr>
          <w:rFonts w:eastAsia="Times New Roman" w:cs="Times New Roman"/>
          <w:b/>
          <w:szCs w:val="20"/>
          <w:lang w:val="es-ES" w:eastAsia="es-ES"/>
        </w:rPr>
        <w:t>La indicación fue declarada inadmisible por el señor Presidente de la Comisión, en conformidad a lo dispuesto en el inciso tercero del artículo 65 de la Constitución Política de la República.</w:t>
      </w:r>
    </w:p>
    <w:p>
      <w:pPr>
        <w:ind w:firstLine="0"/>
        <w:jc w:val="center"/>
        <w:rPr>
          <w:rFonts w:eastAsia="Times New Roman"/>
          <w:b/>
          <w:lang w:val="es-ES" w:eastAsia="es-ES"/>
        </w:rPr>
      </w:pPr>
    </w:p>
    <w:p>
      <w:pPr>
        <w:ind w:firstLine="0"/>
        <w:jc w:val="center"/>
        <w:rPr>
          <w:rFonts w:eastAsia="Times New Roman"/>
          <w:b/>
          <w:lang w:val="es-ES" w:eastAsia="es-ES"/>
        </w:rPr>
      </w:pPr>
      <w:r>
        <w:rPr>
          <w:rFonts w:eastAsia="Times New Roman"/>
          <w:b/>
          <w:lang w:val="es-ES" w:eastAsia="es-ES"/>
        </w:rPr>
        <w:t>- - -</w:t>
      </w:r>
    </w:p>
    <w:p>
      <w:pPr>
        <w:tabs>
          <w:tab w:val="left" w:pos="2835"/>
        </w:tabs>
        <w:rPr>
          <w:rFonts w:eastAsia="Times New Roman" w:cs="Times New Roman"/>
          <w:szCs w:val="20"/>
          <w:lang w:val="es-ES" w:eastAsia="es-ES"/>
        </w:rPr>
      </w:pPr>
      <w:r>
        <w:rPr>
          <w:rFonts w:eastAsia="Times New Roman" w:cs="Times New Roman"/>
          <w:szCs w:val="20"/>
          <w:lang w:val="es-ES" w:eastAsia="es-ES"/>
        </w:rPr>
        <w:t xml:space="preserve"> </w:t>
      </w:r>
    </w:p>
    <w:p>
      <w:pPr>
        <w:tabs>
          <w:tab w:val="left" w:pos="2835"/>
        </w:tabs>
        <w:rPr>
          <w:rFonts w:eastAsia="Times New Roman" w:cs="Times New Roman"/>
          <w:szCs w:val="20"/>
          <w:lang w:val="es-ES" w:eastAsia="es-ES"/>
        </w:rPr>
      </w:pPr>
      <w:r>
        <w:rPr>
          <w:rFonts w:eastAsia="Times New Roman" w:cs="Times New Roman"/>
          <w:szCs w:val="20"/>
          <w:lang w:val="es-ES" w:eastAsia="es-ES"/>
        </w:rPr>
        <w:t>-Luego, el señor Presidente de la Subcomisión, sometió a votación la indicación presentada por los Honorables Diputados señores Lorenzini y Robles, cuyo texto es el siguiente: “En el Subtítulo 21, Capítulo 02, Programa 01, de la Partida 26, rebajar el monto de la asignación 367 Operación Centros Deportivos Integrales a $ 1.000 miles.</w:t>
      </w:r>
    </w:p>
    <w:p>
      <w:pPr>
        <w:tabs>
          <w:tab w:val="left" w:pos="2835"/>
        </w:tabs>
        <w:rPr>
          <w:rFonts w:eastAsia="Times New Roman" w:cs="Times New Roman"/>
          <w:szCs w:val="20"/>
          <w:lang w:val="es-ES" w:eastAsia="es-ES"/>
        </w:rPr>
      </w:pPr>
    </w:p>
    <w:p>
      <w:pPr>
        <w:rPr>
          <w:rFonts w:eastAsia="Times New Roman" w:cs="Times New Roman"/>
          <w:b/>
          <w:szCs w:val="20"/>
          <w:lang w:val="es-ES" w:eastAsia="es-ES"/>
        </w:rPr>
      </w:pPr>
      <w:r>
        <w:rPr>
          <w:rFonts w:eastAsia="Times New Roman" w:cs="Times New Roman"/>
          <w:szCs w:val="20"/>
          <w:lang w:val="es-ES" w:eastAsia="es-ES"/>
        </w:rPr>
        <w:t>--</w:t>
      </w:r>
      <w:r>
        <w:rPr>
          <w:rFonts w:eastAsia="Times New Roman" w:cs="Times New Roman"/>
          <w:b/>
          <w:szCs w:val="20"/>
          <w:lang w:val="es-ES" w:eastAsia="es-ES"/>
        </w:rPr>
        <w:t xml:space="preserve"> Puesta en votación la indicación, se pronunciaron a favor, los Honorables Diputados señores Lorenzini y Macaya, en tanto el Honorable Diputado señor Nuñez, don Daniel, se abstuvo.  En consecuencia la indicación resultó aprobada por 2 votos a favor y una abstención.</w:t>
      </w:r>
    </w:p>
    <w:p>
      <w:pPr>
        <w:tabs>
          <w:tab w:val="left" w:pos="2835"/>
        </w:tabs>
        <w:rPr>
          <w:rFonts w:eastAsia="Times New Roman" w:cs="Times New Roman"/>
          <w:szCs w:val="20"/>
          <w:highlight w:val="yellow"/>
          <w:lang w:val="es-ES" w:eastAsia="es-ES"/>
        </w:rPr>
      </w:pPr>
    </w:p>
    <w:p>
      <w:pPr>
        <w:rPr>
          <w:rFonts w:eastAsia="Times New Roman" w:cs="Times New Roman"/>
          <w:b/>
          <w:szCs w:val="20"/>
          <w:lang w:val="es-ES" w:eastAsia="es-ES"/>
        </w:rPr>
      </w:pPr>
      <w:r>
        <w:rPr>
          <w:rFonts w:eastAsia="Times New Roman" w:cs="Times New Roman"/>
          <w:szCs w:val="20"/>
          <w:lang w:val="es-ES" w:eastAsia="es-ES"/>
        </w:rPr>
        <w:t xml:space="preserve">--Enseguida, el </w:t>
      </w:r>
      <w:r>
        <w:rPr>
          <w:rFonts w:eastAsia="Times New Roman" w:cs="Times New Roman"/>
          <w:b/>
          <w:szCs w:val="20"/>
          <w:lang w:val="es-ES" w:eastAsia="es-ES"/>
        </w:rPr>
        <w:t>Presidente de la Subcomisión puso en votación el Capítulo 01 Programa 01 Subsecretaría del Deporte, que fue aprobado por la unanimidad de los miembros presentes, Honorable Diputado señor Lorenzini (Presidente), y Honorables Diputados señores Macaya y  Núñez, don Daniel.</w:t>
      </w:r>
    </w:p>
    <w:p>
      <w:pPr>
        <w:tabs>
          <w:tab w:val="left" w:pos="2835"/>
        </w:tabs>
        <w:rPr>
          <w:rFonts w:eastAsia="Times New Roman" w:cs="Times New Roman"/>
          <w:szCs w:val="20"/>
          <w:lang w:val="es-ES" w:eastAsia="es-ES"/>
        </w:rPr>
      </w:pPr>
    </w:p>
    <w:p>
      <w:pPr>
        <w:tabs>
          <w:tab w:val="left" w:pos="2835"/>
        </w:tabs>
        <w:rPr>
          <w:rFonts w:eastAsia="Times New Roman" w:cs="Times New Roman"/>
          <w:b/>
          <w:szCs w:val="20"/>
          <w:lang w:val="es-ES" w:eastAsia="es-ES"/>
        </w:rPr>
      </w:pPr>
      <w:r>
        <w:rPr>
          <w:rFonts w:eastAsia="Times New Roman" w:cs="Times New Roman"/>
          <w:szCs w:val="20"/>
          <w:lang w:val="es-ES" w:eastAsia="es-ES"/>
        </w:rPr>
        <w:t xml:space="preserve">--A continuación, el </w:t>
      </w:r>
      <w:r>
        <w:rPr>
          <w:rFonts w:eastAsia="Times New Roman" w:cs="Times New Roman"/>
          <w:b/>
          <w:szCs w:val="20"/>
          <w:lang w:val="es-ES" w:eastAsia="es-ES"/>
        </w:rPr>
        <w:t>Presidente de la Subcomisión puso en votación el Capítulo 02 Programa 01 Instituto Nacional de Deportes, que fue aprobado por la unanimidad de los miembros presentes, Honorables Diputados señores Lorenzini (Presidente), Macaya y Núñez, don Daniel.</w:t>
      </w:r>
    </w:p>
    <w:p>
      <w:pPr>
        <w:tabs>
          <w:tab w:val="left" w:pos="2835"/>
        </w:tabs>
        <w:rPr>
          <w:rFonts w:eastAsia="Times New Roman" w:cs="Times New Roman"/>
          <w:szCs w:val="20"/>
          <w:lang w:val="es-ES" w:eastAsia="es-ES"/>
        </w:rPr>
      </w:pPr>
    </w:p>
    <w:p>
      <w:pPr>
        <w:tabs>
          <w:tab w:val="left" w:pos="2835"/>
        </w:tabs>
        <w:rPr>
          <w:rFonts w:eastAsia="Times New Roman" w:cs="Times New Roman"/>
          <w:szCs w:val="20"/>
          <w:lang w:val="es-ES" w:eastAsia="es-ES"/>
        </w:rPr>
      </w:pPr>
    </w:p>
    <w:p>
      <w:pPr>
        <w:tabs>
          <w:tab w:val="left" w:pos="2835"/>
        </w:tabs>
        <w:rPr>
          <w:rFonts w:eastAsia="Times New Roman" w:cs="Times New Roman"/>
          <w:b/>
          <w:szCs w:val="20"/>
          <w:lang w:val="es-ES" w:eastAsia="es-ES"/>
        </w:rPr>
      </w:pPr>
      <w:r>
        <w:rPr>
          <w:rFonts w:eastAsia="Times New Roman" w:cs="Times New Roman"/>
          <w:szCs w:val="20"/>
          <w:lang w:val="es-ES" w:eastAsia="es-ES"/>
        </w:rPr>
        <w:t xml:space="preserve">--Finalmente, el </w:t>
      </w:r>
      <w:r>
        <w:rPr>
          <w:rFonts w:eastAsia="Times New Roman" w:cs="Times New Roman"/>
          <w:b/>
          <w:szCs w:val="20"/>
          <w:lang w:val="es-ES" w:eastAsia="es-ES"/>
        </w:rPr>
        <w:t xml:space="preserve">Presidente de la Subcomisión puso en votación el Capítulo 02 Programa 02 Fondo Nacional para el </w:t>
      </w:r>
      <w:r>
        <w:rPr>
          <w:rFonts w:eastAsia="Times New Roman" w:cs="Times New Roman"/>
          <w:b/>
          <w:szCs w:val="20"/>
          <w:lang w:val="es-ES" w:eastAsia="es-ES"/>
        </w:rPr>
        <w:lastRenderedPageBreak/>
        <w:t>Fomento del Deporte, que fue aprobado por la unanimidad de los miembros presentes, Honorables Diputados señores Lorenzini (Presidente), Macaya y Núñez, don Daniel.</w:t>
      </w:r>
    </w:p>
    <w:p>
      <w:pPr>
        <w:tabs>
          <w:tab w:val="left" w:pos="2835"/>
        </w:tabs>
        <w:rPr>
          <w:rFonts w:eastAsia="Times New Roman" w:cs="Times New Roman"/>
          <w:szCs w:val="20"/>
          <w:lang w:val="es-ES" w:eastAsia="es-ES"/>
        </w:rPr>
      </w:pPr>
    </w:p>
    <w:p>
      <w:pPr>
        <w:ind w:firstLine="0"/>
        <w:jc w:val="center"/>
        <w:rPr>
          <w:rFonts w:eastAsia="Times New Roman" w:cs="Times New Roman"/>
          <w:szCs w:val="20"/>
          <w:lang w:val="es-ES" w:eastAsia="es-ES"/>
        </w:rPr>
      </w:pPr>
      <w:r>
        <w:rPr>
          <w:rFonts w:eastAsia="Times New Roman" w:cs="Times New Roman"/>
          <w:szCs w:val="20"/>
          <w:lang w:val="es-ES" w:eastAsia="es-ES"/>
        </w:rPr>
        <w:t>- - -</w:t>
      </w:r>
    </w:p>
    <w:p>
      <w:pPr>
        <w:rPr>
          <w:rFonts w:eastAsia="Times New Roman" w:cs="Times New Roman"/>
          <w:szCs w:val="20"/>
          <w:lang w:val="es-ES" w:eastAsia="es-ES"/>
        </w:rPr>
      </w:pPr>
    </w:p>
    <w:p>
      <w:pPr>
        <w:rPr>
          <w:rFonts w:eastAsia="Times New Roman" w:cs="Times New Roman"/>
          <w:b/>
          <w:szCs w:val="20"/>
          <w:lang w:val="es-ES" w:eastAsia="es-ES"/>
        </w:rPr>
      </w:pPr>
      <w:r>
        <w:rPr>
          <w:rFonts w:eastAsia="Times New Roman" w:cs="Times New Roman"/>
          <w:szCs w:val="20"/>
          <w:lang w:val="es-ES" w:eastAsia="es-ES"/>
        </w:rPr>
        <w:t>En mérito de las consideraciones anteriormente expuestas y de los acuerdos consignados, vuestra Segunda Subcomisión Especial Mixta de Presupuestos os propone aprobar la Partida 26, con la siguiente modificación:</w:t>
      </w:r>
    </w:p>
    <w:p>
      <w:pPr>
        <w:tabs>
          <w:tab w:val="left" w:pos="2835"/>
        </w:tabs>
        <w:rPr>
          <w:rFonts w:eastAsia="Times New Roman" w:cs="Times New Roman"/>
          <w:b/>
          <w:szCs w:val="20"/>
          <w:lang w:val="es-ES" w:eastAsia="es-ES"/>
        </w:rPr>
      </w:pPr>
    </w:p>
    <w:p>
      <w:pPr>
        <w:tabs>
          <w:tab w:val="left" w:pos="2835"/>
        </w:tabs>
        <w:rPr>
          <w:rFonts w:eastAsia="Times New Roman" w:cs="Times New Roman"/>
          <w:b/>
          <w:szCs w:val="20"/>
          <w:lang w:val="es-ES" w:eastAsia="es-ES"/>
        </w:rPr>
      </w:pPr>
      <w:r>
        <w:rPr>
          <w:rFonts w:eastAsia="Times New Roman" w:cs="Times New Roman"/>
          <w:b/>
          <w:szCs w:val="20"/>
          <w:lang w:val="es-ES" w:eastAsia="es-ES"/>
        </w:rPr>
        <w:t xml:space="preserve"> “En el Subtítulo 21, Capítulo 02, Programa 01 de la Partida 26, rebajar el monto de la asignación 367 Operación Centros Deportivos Integrales a $ 1.000 miles.”.</w:t>
      </w:r>
    </w:p>
    <w:p>
      <w:pPr>
        <w:rPr>
          <w:rFonts w:eastAsia="Times New Roman" w:cs="Times New Roman"/>
          <w:szCs w:val="20"/>
          <w:lang w:val="es-ES" w:eastAsia="es-ES"/>
        </w:rPr>
      </w:pPr>
    </w:p>
    <w:p>
      <w:pPr>
        <w:rPr>
          <w:rFonts w:eastAsia="Times New Roman"/>
          <w:lang w:val="es-ES" w:eastAsia="es-ES"/>
        </w:rPr>
      </w:pPr>
    </w:p>
    <w:p>
      <w:pPr>
        <w:ind w:firstLine="0"/>
        <w:jc w:val="center"/>
        <w:rPr>
          <w:rFonts w:eastAsia="Times New Roman" w:cs="Times New Roman"/>
          <w:szCs w:val="20"/>
          <w:lang w:val="es-ES" w:eastAsia="es-ES"/>
        </w:rPr>
      </w:pPr>
      <w:r>
        <w:rPr>
          <w:rFonts w:eastAsia="Times New Roman"/>
          <w:lang w:val="es-ES" w:eastAsia="es-ES"/>
        </w:rPr>
        <w:t>- - -</w:t>
      </w:r>
    </w:p>
    <w:p>
      <w:pPr>
        <w:tabs>
          <w:tab w:val="left" w:pos="2835"/>
        </w:tabs>
        <w:ind w:firstLine="0"/>
        <w:rPr>
          <w:rFonts w:eastAsia="Times New Roman" w:cs="Times New Roman"/>
          <w:szCs w:val="20"/>
          <w:lang w:val="es-ES" w:eastAsia="es-ES"/>
        </w:rPr>
      </w:pPr>
    </w:p>
    <w:p>
      <w:pPr>
        <w:tabs>
          <w:tab w:val="left" w:pos="2835"/>
        </w:tabs>
        <w:rPr>
          <w:rFonts w:eastAsia="Times New Roman" w:cs="Times New Roman"/>
          <w:szCs w:val="20"/>
          <w:lang w:val="es-ES" w:eastAsia="es-ES"/>
        </w:rPr>
      </w:pPr>
      <w:r>
        <w:rPr>
          <w:rFonts w:eastAsia="Times New Roman" w:cs="Times New Roman"/>
          <w:szCs w:val="20"/>
          <w:lang w:val="es-ES" w:eastAsia="es-ES"/>
        </w:rPr>
        <w:t xml:space="preserve">Acordado en sesión celebrada el 24 de octubre de 2016, con asistencia de los Honorables Diputados señor Pablo Lorenzini Basso (Presidente), y  señores Javier Macaya Danús y Daniel Núñez Melo. </w:t>
      </w:r>
    </w:p>
    <w:p>
      <w:pPr>
        <w:tabs>
          <w:tab w:val="left" w:pos="2835"/>
        </w:tabs>
        <w:ind w:firstLine="0"/>
        <w:outlineLvl w:val="0"/>
        <w:rPr>
          <w:rFonts w:eastAsia="Times New Roman" w:cs="Times New Roman"/>
          <w:szCs w:val="20"/>
          <w:lang w:val="es-ES" w:eastAsia="es-ES"/>
        </w:rPr>
      </w:pPr>
    </w:p>
    <w:p>
      <w:pPr>
        <w:tabs>
          <w:tab w:val="left" w:pos="2835"/>
        </w:tabs>
        <w:ind w:firstLine="0"/>
        <w:outlineLvl w:val="0"/>
        <w:rPr>
          <w:rFonts w:eastAsia="Times New Roman" w:cs="Times New Roman"/>
          <w:szCs w:val="20"/>
          <w:lang w:val="es-ES" w:eastAsia="es-ES"/>
        </w:rPr>
      </w:pPr>
    </w:p>
    <w:p>
      <w:pPr>
        <w:tabs>
          <w:tab w:val="left" w:pos="2835"/>
        </w:tabs>
        <w:outlineLvl w:val="0"/>
        <w:rPr>
          <w:rFonts w:eastAsia="Times New Roman" w:cs="Times New Roman"/>
          <w:szCs w:val="20"/>
          <w:lang w:val="es-ES" w:eastAsia="es-ES"/>
        </w:rPr>
      </w:pPr>
      <w:r>
        <w:rPr>
          <w:rFonts w:eastAsia="Times New Roman" w:cs="Times New Roman"/>
          <w:szCs w:val="20"/>
          <w:lang w:val="es-ES" w:eastAsia="es-ES"/>
        </w:rPr>
        <w:t>Sala de la Subcomisión, a 28 de octubre de 2016.</w:t>
      </w:r>
    </w:p>
    <w:p>
      <w:pPr>
        <w:tabs>
          <w:tab w:val="left" w:pos="2835"/>
        </w:tabs>
        <w:ind w:firstLine="0"/>
        <w:rPr>
          <w:rFonts w:eastAsia="Times New Roman" w:cs="Times New Roman"/>
          <w:szCs w:val="20"/>
          <w:lang w:val="es-ES" w:eastAsia="es-ES"/>
        </w:rPr>
      </w:pPr>
    </w:p>
    <w:p>
      <w:pPr>
        <w:tabs>
          <w:tab w:val="left" w:pos="2835"/>
        </w:tabs>
        <w:ind w:firstLine="0"/>
        <w:rPr>
          <w:rFonts w:eastAsia="Times New Roman" w:cs="Times New Roman"/>
          <w:szCs w:val="20"/>
          <w:lang w:val="es-ES" w:eastAsia="es-ES"/>
        </w:rPr>
      </w:pPr>
    </w:p>
    <w:p>
      <w:pPr>
        <w:tabs>
          <w:tab w:val="left" w:pos="2835"/>
        </w:tabs>
        <w:ind w:firstLine="0"/>
        <w:rPr>
          <w:rFonts w:eastAsia="Times New Roman" w:cs="Times New Roman"/>
          <w:szCs w:val="20"/>
          <w:lang w:val="es-ES" w:eastAsia="es-ES"/>
        </w:rPr>
      </w:pPr>
    </w:p>
    <w:p>
      <w:pPr>
        <w:tabs>
          <w:tab w:val="left" w:pos="2835"/>
        </w:tabs>
        <w:ind w:firstLine="0"/>
        <w:rPr>
          <w:rFonts w:eastAsia="Times New Roman" w:cs="Times New Roman"/>
          <w:szCs w:val="20"/>
          <w:lang w:val="es-ES" w:eastAsia="es-ES"/>
        </w:rPr>
      </w:pPr>
    </w:p>
    <w:p>
      <w:pPr>
        <w:tabs>
          <w:tab w:val="left" w:pos="2835"/>
        </w:tabs>
        <w:ind w:firstLine="0"/>
        <w:rPr>
          <w:rFonts w:eastAsia="Times New Roman" w:cs="Times New Roman"/>
          <w:szCs w:val="20"/>
          <w:lang w:val="es-ES" w:eastAsia="es-ES"/>
        </w:rPr>
      </w:pPr>
    </w:p>
    <w:p>
      <w:pPr>
        <w:tabs>
          <w:tab w:val="left" w:pos="2835"/>
        </w:tabs>
        <w:ind w:firstLine="0"/>
        <w:rPr>
          <w:rFonts w:eastAsia="Times New Roman" w:cs="Times New Roman"/>
          <w:szCs w:val="20"/>
          <w:lang w:val="es-ES" w:eastAsia="es-ES"/>
        </w:rPr>
      </w:pPr>
    </w:p>
    <w:p>
      <w:pPr>
        <w:tabs>
          <w:tab w:val="left" w:pos="2835"/>
        </w:tabs>
        <w:ind w:firstLine="0"/>
        <w:rPr>
          <w:rFonts w:eastAsia="Times New Roman" w:cs="Times New Roman"/>
          <w:szCs w:val="20"/>
          <w:lang w:val="es-ES" w:eastAsia="es-ES"/>
        </w:rPr>
      </w:pPr>
    </w:p>
    <w:p>
      <w:pPr>
        <w:tabs>
          <w:tab w:val="left" w:pos="2835"/>
        </w:tabs>
        <w:ind w:firstLine="0"/>
        <w:rPr>
          <w:rFonts w:eastAsia="Times New Roman" w:cs="Times New Roman"/>
          <w:szCs w:val="20"/>
          <w:lang w:val="es-ES" w:eastAsia="es-ES"/>
        </w:rPr>
      </w:pPr>
    </w:p>
    <w:p>
      <w:pPr>
        <w:tabs>
          <w:tab w:val="left" w:pos="2835"/>
        </w:tabs>
        <w:ind w:firstLine="0"/>
        <w:rPr>
          <w:rFonts w:eastAsia="Times New Roman" w:cs="Times New Roman"/>
          <w:szCs w:val="20"/>
          <w:lang w:val="es-ES" w:eastAsia="es-ES"/>
        </w:rPr>
      </w:pPr>
    </w:p>
    <w:p>
      <w:pPr>
        <w:tabs>
          <w:tab w:val="left" w:pos="2835"/>
        </w:tabs>
        <w:ind w:firstLine="0"/>
        <w:rPr>
          <w:rFonts w:eastAsia="Times New Roman" w:cs="Times New Roman"/>
          <w:szCs w:val="20"/>
          <w:lang w:val="es-ES" w:eastAsia="es-ES"/>
        </w:rPr>
      </w:pPr>
    </w:p>
    <w:p>
      <w:pPr>
        <w:tabs>
          <w:tab w:val="left" w:pos="2835"/>
        </w:tabs>
        <w:ind w:firstLine="0"/>
        <w:rPr>
          <w:rFonts w:eastAsia="Times New Roman" w:cs="Times New Roman"/>
          <w:szCs w:val="20"/>
          <w:lang w:val="es-ES" w:eastAsia="es-ES"/>
        </w:rPr>
      </w:pPr>
    </w:p>
    <w:p>
      <w:pPr>
        <w:tabs>
          <w:tab w:val="left" w:pos="2835"/>
        </w:tabs>
        <w:ind w:firstLine="0"/>
        <w:rPr>
          <w:rFonts w:eastAsia="Times New Roman" w:cs="Times New Roman"/>
          <w:szCs w:val="20"/>
          <w:lang w:val="es-ES" w:eastAsia="es-ES"/>
        </w:rPr>
      </w:pPr>
    </w:p>
    <w:p>
      <w:pPr>
        <w:tabs>
          <w:tab w:val="left" w:pos="2835"/>
        </w:tabs>
        <w:ind w:firstLine="0"/>
        <w:rPr>
          <w:rFonts w:eastAsia="Times New Roman" w:cs="Times New Roman"/>
          <w:szCs w:val="20"/>
          <w:lang w:val="es-ES" w:eastAsia="es-ES"/>
        </w:rPr>
      </w:pPr>
    </w:p>
    <w:p>
      <w:pPr>
        <w:tabs>
          <w:tab w:val="left" w:pos="2835"/>
        </w:tabs>
        <w:ind w:firstLine="0"/>
        <w:rPr>
          <w:rFonts w:eastAsia="Times New Roman" w:cs="Times New Roman"/>
          <w:szCs w:val="20"/>
          <w:lang w:val="es-ES" w:eastAsia="es-ES"/>
        </w:rPr>
      </w:pPr>
    </w:p>
    <w:p>
      <w:pPr>
        <w:tabs>
          <w:tab w:val="left" w:pos="2835"/>
        </w:tabs>
        <w:ind w:firstLine="0"/>
        <w:rPr>
          <w:rFonts w:eastAsia="Times New Roman" w:cs="Times New Roman"/>
          <w:szCs w:val="20"/>
          <w:highlight w:val="yellow"/>
          <w:lang w:val="es-ES" w:eastAsia="es-ES"/>
        </w:rPr>
      </w:pPr>
    </w:p>
    <w:p>
      <w:pPr>
        <w:tabs>
          <w:tab w:val="left" w:pos="2835"/>
        </w:tabs>
        <w:ind w:firstLine="0"/>
        <w:jc w:val="center"/>
        <w:rPr>
          <w:rFonts w:eastAsia="Times New Roman" w:cs="Times New Roman"/>
          <w:b/>
          <w:szCs w:val="20"/>
          <w:lang w:val="es-ES" w:eastAsia="es-ES"/>
        </w:rPr>
      </w:pPr>
      <w:r>
        <w:rPr>
          <w:rFonts w:eastAsia="Times New Roman" w:cs="Times New Roman"/>
          <w:b/>
          <w:szCs w:val="20"/>
          <w:lang w:val="es-ES" w:eastAsia="es-ES"/>
        </w:rPr>
        <w:t>MAGDALENA PALUMBO OSSA</w:t>
      </w:r>
    </w:p>
    <w:p>
      <w:pPr>
        <w:tabs>
          <w:tab w:val="left" w:pos="2835"/>
        </w:tabs>
        <w:ind w:firstLine="0"/>
        <w:jc w:val="center"/>
        <w:rPr>
          <w:rFonts w:eastAsia="Times New Roman" w:cs="Times New Roman"/>
          <w:b/>
          <w:szCs w:val="20"/>
          <w:lang w:val="es-ES" w:eastAsia="es-ES"/>
        </w:rPr>
      </w:pPr>
      <w:r>
        <w:rPr>
          <w:rFonts w:eastAsia="Times New Roman" w:cs="Times New Roman"/>
          <w:b/>
          <w:szCs w:val="20"/>
          <w:lang w:val="es-ES" w:eastAsia="es-ES"/>
        </w:rPr>
        <w:t>Secretario Abogado</w:t>
      </w:r>
    </w:p>
    <w:sectPr>
      <w:headerReference w:type="even" r:id="rId9"/>
      <w:headerReference w:type="default" r:id="rId10"/>
      <w:pgSz w:w="12242" w:h="20163" w:code="5"/>
      <w:pgMar w:top="2835" w:right="1701" w:bottom="2835" w:left="2268" w:header="720" w:footer="720" w:gutter="0"/>
      <w:paperSrc w:first="258" w:other="258"/>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19</w:t>
    </w:r>
    <w:r>
      <w:rPr>
        <w:rStyle w:val="Nmerodepgina"/>
      </w:rPr>
      <w:fldChar w:fldCharType="end"/>
    </w:r>
  </w:p>
  <w:p>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EEE9E5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6011135"/>
    <w:multiLevelType w:val="hybridMultilevel"/>
    <w:tmpl w:val="0722110A"/>
    <w:lvl w:ilvl="0" w:tplc="9C6E9142">
      <w:start w:val="1"/>
      <w:numFmt w:val="lowerLetter"/>
      <w:lvlText w:val="%1)"/>
      <w:lvlJc w:val="left"/>
      <w:pPr>
        <w:ind w:left="3160" w:hanging="360"/>
      </w:pPr>
      <w:rPr>
        <w:rFonts w:hint="default"/>
      </w:rPr>
    </w:lvl>
    <w:lvl w:ilvl="1" w:tplc="340A0019" w:tentative="1">
      <w:start w:val="1"/>
      <w:numFmt w:val="lowerLetter"/>
      <w:lvlText w:val="%2."/>
      <w:lvlJc w:val="left"/>
      <w:pPr>
        <w:ind w:left="3880" w:hanging="360"/>
      </w:pPr>
    </w:lvl>
    <w:lvl w:ilvl="2" w:tplc="340A001B" w:tentative="1">
      <w:start w:val="1"/>
      <w:numFmt w:val="lowerRoman"/>
      <w:lvlText w:val="%3."/>
      <w:lvlJc w:val="right"/>
      <w:pPr>
        <w:ind w:left="4600" w:hanging="180"/>
      </w:pPr>
    </w:lvl>
    <w:lvl w:ilvl="3" w:tplc="340A000F" w:tentative="1">
      <w:start w:val="1"/>
      <w:numFmt w:val="decimal"/>
      <w:lvlText w:val="%4."/>
      <w:lvlJc w:val="left"/>
      <w:pPr>
        <w:ind w:left="5320" w:hanging="360"/>
      </w:pPr>
    </w:lvl>
    <w:lvl w:ilvl="4" w:tplc="340A0019" w:tentative="1">
      <w:start w:val="1"/>
      <w:numFmt w:val="lowerLetter"/>
      <w:lvlText w:val="%5."/>
      <w:lvlJc w:val="left"/>
      <w:pPr>
        <w:ind w:left="6040" w:hanging="360"/>
      </w:pPr>
    </w:lvl>
    <w:lvl w:ilvl="5" w:tplc="340A001B" w:tentative="1">
      <w:start w:val="1"/>
      <w:numFmt w:val="lowerRoman"/>
      <w:lvlText w:val="%6."/>
      <w:lvlJc w:val="right"/>
      <w:pPr>
        <w:ind w:left="6760" w:hanging="180"/>
      </w:pPr>
    </w:lvl>
    <w:lvl w:ilvl="6" w:tplc="340A000F" w:tentative="1">
      <w:start w:val="1"/>
      <w:numFmt w:val="decimal"/>
      <w:lvlText w:val="%7."/>
      <w:lvlJc w:val="left"/>
      <w:pPr>
        <w:ind w:left="7480" w:hanging="360"/>
      </w:pPr>
    </w:lvl>
    <w:lvl w:ilvl="7" w:tplc="340A0019" w:tentative="1">
      <w:start w:val="1"/>
      <w:numFmt w:val="lowerLetter"/>
      <w:lvlText w:val="%8."/>
      <w:lvlJc w:val="left"/>
      <w:pPr>
        <w:ind w:left="8200" w:hanging="360"/>
      </w:pPr>
    </w:lvl>
    <w:lvl w:ilvl="8" w:tplc="340A001B" w:tentative="1">
      <w:start w:val="1"/>
      <w:numFmt w:val="lowerRoman"/>
      <w:lvlText w:val="%9."/>
      <w:lvlJc w:val="right"/>
      <w:pPr>
        <w:ind w:left="8920" w:hanging="180"/>
      </w:pPr>
    </w:lvl>
  </w:abstractNum>
  <w:abstractNum w:abstractNumId="2">
    <w:nsid w:val="0A0E67C3"/>
    <w:multiLevelType w:val="hybridMultilevel"/>
    <w:tmpl w:val="E144A3D2"/>
    <w:lvl w:ilvl="0" w:tplc="4F722E42">
      <w:start w:val="1"/>
      <w:numFmt w:val="lowerLetter"/>
      <w:lvlText w:val="%1)"/>
      <w:lvlJc w:val="left"/>
      <w:pPr>
        <w:ind w:left="6111" w:hanging="3276"/>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3">
    <w:nsid w:val="0BA864A7"/>
    <w:multiLevelType w:val="hybridMultilevel"/>
    <w:tmpl w:val="C46271DE"/>
    <w:lvl w:ilvl="0" w:tplc="7368F272">
      <w:numFmt w:val="bullet"/>
      <w:lvlText w:val="-"/>
      <w:lvlJc w:val="left"/>
      <w:pPr>
        <w:ind w:left="3195" w:hanging="360"/>
      </w:pPr>
      <w:rPr>
        <w:rFonts w:ascii="Arial" w:eastAsia="Times New Roman"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4">
    <w:nsid w:val="14F10A5C"/>
    <w:multiLevelType w:val="hybridMultilevel"/>
    <w:tmpl w:val="08FA9EFC"/>
    <w:lvl w:ilvl="0" w:tplc="6A3C0848">
      <w:start w:val="4"/>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21614D87"/>
    <w:multiLevelType w:val="hybridMultilevel"/>
    <w:tmpl w:val="1F58C4E6"/>
    <w:lvl w:ilvl="0" w:tplc="FF608DB6">
      <w:numFmt w:val="bullet"/>
      <w:lvlText w:val=""/>
      <w:lvlJc w:val="left"/>
      <w:pPr>
        <w:ind w:left="2490" w:hanging="360"/>
      </w:pPr>
      <w:rPr>
        <w:rFonts w:ascii="Wingdings" w:eastAsia="Times New Roman" w:hAnsi="Wingdings" w:cs="Times New Roman" w:hint="default"/>
      </w:rPr>
    </w:lvl>
    <w:lvl w:ilvl="1" w:tplc="340A0003" w:tentative="1">
      <w:start w:val="1"/>
      <w:numFmt w:val="bullet"/>
      <w:lvlText w:val="o"/>
      <w:lvlJc w:val="left"/>
      <w:pPr>
        <w:ind w:left="3210" w:hanging="360"/>
      </w:pPr>
      <w:rPr>
        <w:rFonts w:ascii="Courier New" w:hAnsi="Courier New" w:cs="Courier New" w:hint="default"/>
      </w:rPr>
    </w:lvl>
    <w:lvl w:ilvl="2" w:tplc="340A0005" w:tentative="1">
      <w:start w:val="1"/>
      <w:numFmt w:val="bullet"/>
      <w:lvlText w:val=""/>
      <w:lvlJc w:val="left"/>
      <w:pPr>
        <w:ind w:left="3930" w:hanging="360"/>
      </w:pPr>
      <w:rPr>
        <w:rFonts w:ascii="Wingdings" w:hAnsi="Wingdings" w:hint="default"/>
      </w:rPr>
    </w:lvl>
    <w:lvl w:ilvl="3" w:tplc="340A0001" w:tentative="1">
      <w:start w:val="1"/>
      <w:numFmt w:val="bullet"/>
      <w:lvlText w:val=""/>
      <w:lvlJc w:val="left"/>
      <w:pPr>
        <w:ind w:left="4650" w:hanging="360"/>
      </w:pPr>
      <w:rPr>
        <w:rFonts w:ascii="Symbol" w:hAnsi="Symbol" w:hint="default"/>
      </w:rPr>
    </w:lvl>
    <w:lvl w:ilvl="4" w:tplc="340A0003" w:tentative="1">
      <w:start w:val="1"/>
      <w:numFmt w:val="bullet"/>
      <w:lvlText w:val="o"/>
      <w:lvlJc w:val="left"/>
      <w:pPr>
        <w:ind w:left="5370" w:hanging="360"/>
      </w:pPr>
      <w:rPr>
        <w:rFonts w:ascii="Courier New" w:hAnsi="Courier New" w:cs="Courier New" w:hint="default"/>
      </w:rPr>
    </w:lvl>
    <w:lvl w:ilvl="5" w:tplc="340A0005" w:tentative="1">
      <w:start w:val="1"/>
      <w:numFmt w:val="bullet"/>
      <w:lvlText w:val=""/>
      <w:lvlJc w:val="left"/>
      <w:pPr>
        <w:ind w:left="6090" w:hanging="360"/>
      </w:pPr>
      <w:rPr>
        <w:rFonts w:ascii="Wingdings" w:hAnsi="Wingdings" w:hint="default"/>
      </w:rPr>
    </w:lvl>
    <w:lvl w:ilvl="6" w:tplc="340A0001" w:tentative="1">
      <w:start w:val="1"/>
      <w:numFmt w:val="bullet"/>
      <w:lvlText w:val=""/>
      <w:lvlJc w:val="left"/>
      <w:pPr>
        <w:ind w:left="6810" w:hanging="360"/>
      </w:pPr>
      <w:rPr>
        <w:rFonts w:ascii="Symbol" w:hAnsi="Symbol" w:hint="default"/>
      </w:rPr>
    </w:lvl>
    <w:lvl w:ilvl="7" w:tplc="340A0003" w:tentative="1">
      <w:start w:val="1"/>
      <w:numFmt w:val="bullet"/>
      <w:lvlText w:val="o"/>
      <w:lvlJc w:val="left"/>
      <w:pPr>
        <w:ind w:left="7530" w:hanging="360"/>
      </w:pPr>
      <w:rPr>
        <w:rFonts w:ascii="Courier New" w:hAnsi="Courier New" w:cs="Courier New" w:hint="default"/>
      </w:rPr>
    </w:lvl>
    <w:lvl w:ilvl="8" w:tplc="340A0005" w:tentative="1">
      <w:start w:val="1"/>
      <w:numFmt w:val="bullet"/>
      <w:lvlText w:val=""/>
      <w:lvlJc w:val="left"/>
      <w:pPr>
        <w:ind w:left="8250" w:hanging="360"/>
      </w:pPr>
      <w:rPr>
        <w:rFonts w:ascii="Wingdings" w:hAnsi="Wingdings" w:hint="default"/>
      </w:rPr>
    </w:lvl>
  </w:abstractNum>
  <w:abstractNum w:abstractNumId="6">
    <w:nsid w:val="22F66E2F"/>
    <w:multiLevelType w:val="multilevel"/>
    <w:tmpl w:val="0C0A0023"/>
    <w:lvl w:ilvl="0">
      <w:start w:val="1"/>
      <w:numFmt w:val="upperRoman"/>
      <w:pStyle w:val="Ttulo1"/>
      <w:lvlText w:val="Artículo %1."/>
      <w:lvlJc w:val="left"/>
      <w:pPr>
        <w:tabs>
          <w:tab w:val="num" w:pos="1440"/>
        </w:tabs>
      </w:pPr>
    </w:lvl>
    <w:lvl w:ilvl="1">
      <w:start w:val="1"/>
      <w:numFmt w:val="decimalZero"/>
      <w:isLgl/>
      <w:lvlText w:val="Secció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2D6E16E4"/>
    <w:multiLevelType w:val="hybridMultilevel"/>
    <w:tmpl w:val="E1E22CE6"/>
    <w:lvl w:ilvl="0" w:tplc="74241B9E">
      <w:start w:val="4"/>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31BD49B4"/>
    <w:multiLevelType w:val="hybridMultilevel"/>
    <w:tmpl w:val="0C300B0A"/>
    <w:lvl w:ilvl="0" w:tplc="A9C0C660">
      <w:start w:val="1"/>
      <w:numFmt w:val="lowerLetter"/>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9">
    <w:nsid w:val="3DAD4DAA"/>
    <w:multiLevelType w:val="hybridMultilevel"/>
    <w:tmpl w:val="22A0C2A6"/>
    <w:lvl w:ilvl="0" w:tplc="5656BA4A">
      <w:start w:val="4"/>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3FA016AC"/>
    <w:multiLevelType w:val="hybridMultilevel"/>
    <w:tmpl w:val="9F9249B0"/>
    <w:lvl w:ilvl="0" w:tplc="28EEB31A">
      <w:numFmt w:val="bullet"/>
      <w:lvlText w:val="-"/>
      <w:lvlJc w:val="left"/>
      <w:pPr>
        <w:ind w:left="3195" w:hanging="360"/>
      </w:pPr>
      <w:rPr>
        <w:rFonts w:ascii="Arial" w:eastAsia="Times New Roman"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11">
    <w:nsid w:val="44FE06D7"/>
    <w:multiLevelType w:val="hybridMultilevel"/>
    <w:tmpl w:val="BA80587A"/>
    <w:lvl w:ilvl="0" w:tplc="6B1A3CE6">
      <w:numFmt w:val="bullet"/>
      <w:lvlText w:val=""/>
      <w:lvlJc w:val="left"/>
      <w:pPr>
        <w:ind w:left="3195" w:hanging="360"/>
      </w:pPr>
      <w:rPr>
        <w:rFonts w:ascii="Wingdings" w:eastAsia="Times New Roman" w:hAnsi="Wingdings" w:cs="Times New Roman"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12">
    <w:nsid w:val="56A7043B"/>
    <w:multiLevelType w:val="hybridMultilevel"/>
    <w:tmpl w:val="7B063C66"/>
    <w:lvl w:ilvl="0" w:tplc="61E2997A">
      <w:start w:val="4"/>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599E54C3"/>
    <w:multiLevelType w:val="hybridMultilevel"/>
    <w:tmpl w:val="47C6E062"/>
    <w:lvl w:ilvl="0" w:tplc="8214E12E">
      <w:numFmt w:val="bullet"/>
      <w:lvlText w:val=""/>
      <w:lvlJc w:val="left"/>
      <w:pPr>
        <w:ind w:left="2550" w:hanging="360"/>
      </w:pPr>
      <w:rPr>
        <w:rFonts w:ascii="Wingdings" w:eastAsia="Times New Roman" w:hAnsi="Wingdings" w:cs="Times New Roman" w:hint="default"/>
      </w:rPr>
    </w:lvl>
    <w:lvl w:ilvl="1" w:tplc="340A0003" w:tentative="1">
      <w:start w:val="1"/>
      <w:numFmt w:val="bullet"/>
      <w:lvlText w:val="o"/>
      <w:lvlJc w:val="left"/>
      <w:pPr>
        <w:ind w:left="3270" w:hanging="360"/>
      </w:pPr>
      <w:rPr>
        <w:rFonts w:ascii="Courier New" w:hAnsi="Courier New" w:cs="Courier New" w:hint="default"/>
      </w:rPr>
    </w:lvl>
    <w:lvl w:ilvl="2" w:tplc="340A0005" w:tentative="1">
      <w:start w:val="1"/>
      <w:numFmt w:val="bullet"/>
      <w:lvlText w:val=""/>
      <w:lvlJc w:val="left"/>
      <w:pPr>
        <w:ind w:left="3990" w:hanging="360"/>
      </w:pPr>
      <w:rPr>
        <w:rFonts w:ascii="Wingdings" w:hAnsi="Wingdings" w:hint="default"/>
      </w:rPr>
    </w:lvl>
    <w:lvl w:ilvl="3" w:tplc="340A0001" w:tentative="1">
      <w:start w:val="1"/>
      <w:numFmt w:val="bullet"/>
      <w:lvlText w:val=""/>
      <w:lvlJc w:val="left"/>
      <w:pPr>
        <w:ind w:left="4710" w:hanging="360"/>
      </w:pPr>
      <w:rPr>
        <w:rFonts w:ascii="Symbol" w:hAnsi="Symbol" w:hint="default"/>
      </w:rPr>
    </w:lvl>
    <w:lvl w:ilvl="4" w:tplc="340A0003" w:tentative="1">
      <w:start w:val="1"/>
      <w:numFmt w:val="bullet"/>
      <w:lvlText w:val="o"/>
      <w:lvlJc w:val="left"/>
      <w:pPr>
        <w:ind w:left="5430" w:hanging="360"/>
      </w:pPr>
      <w:rPr>
        <w:rFonts w:ascii="Courier New" w:hAnsi="Courier New" w:cs="Courier New" w:hint="default"/>
      </w:rPr>
    </w:lvl>
    <w:lvl w:ilvl="5" w:tplc="340A0005" w:tentative="1">
      <w:start w:val="1"/>
      <w:numFmt w:val="bullet"/>
      <w:lvlText w:val=""/>
      <w:lvlJc w:val="left"/>
      <w:pPr>
        <w:ind w:left="6150" w:hanging="360"/>
      </w:pPr>
      <w:rPr>
        <w:rFonts w:ascii="Wingdings" w:hAnsi="Wingdings" w:hint="default"/>
      </w:rPr>
    </w:lvl>
    <w:lvl w:ilvl="6" w:tplc="340A0001" w:tentative="1">
      <w:start w:val="1"/>
      <w:numFmt w:val="bullet"/>
      <w:lvlText w:val=""/>
      <w:lvlJc w:val="left"/>
      <w:pPr>
        <w:ind w:left="6870" w:hanging="360"/>
      </w:pPr>
      <w:rPr>
        <w:rFonts w:ascii="Symbol" w:hAnsi="Symbol" w:hint="default"/>
      </w:rPr>
    </w:lvl>
    <w:lvl w:ilvl="7" w:tplc="340A0003" w:tentative="1">
      <w:start w:val="1"/>
      <w:numFmt w:val="bullet"/>
      <w:lvlText w:val="o"/>
      <w:lvlJc w:val="left"/>
      <w:pPr>
        <w:ind w:left="7590" w:hanging="360"/>
      </w:pPr>
      <w:rPr>
        <w:rFonts w:ascii="Courier New" w:hAnsi="Courier New" w:cs="Courier New" w:hint="default"/>
      </w:rPr>
    </w:lvl>
    <w:lvl w:ilvl="8" w:tplc="340A0005" w:tentative="1">
      <w:start w:val="1"/>
      <w:numFmt w:val="bullet"/>
      <w:lvlText w:val=""/>
      <w:lvlJc w:val="left"/>
      <w:pPr>
        <w:ind w:left="8310" w:hanging="360"/>
      </w:pPr>
      <w:rPr>
        <w:rFonts w:ascii="Wingdings" w:hAnsi="Wingdings" w:hint="default"/>
      </w:rPr>
    </w:lvl>
  </w:abstractNum>
  <w:abstractNum w:abstractNumId="14">
    <w:nsid w:val="5AC45495"/>
    <w:multiLevelType w:val="hybridMultilevel"/>
    <w:tmpl w:val="077458E4"/>
    <w:lvl w:ilvl="0" w:tplc="EB1E664C">
      <w:numFmt w:val="bullet"/>
      <w:lvlText w:val="-"/>
      <w:lvlJc w:val="left"/>
      <w:pPr>
        <w:ind w:left="3195" w:hanging="360"/>
      </w:pPr>
      <w:rPr>
        <w:rFonts w:ascii="Arial" w:eastAsia="Times New Roman"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15">
    <w:nsid w:val="5C991B3D"/>
    <w:multiLevelType w:val="hybridMultilevel"/>
    <w:tmpl w:val="C81209D4"/>
    <w:lvl w:ilvl="0" w:tplc="3920F5B6">
      <w:numFmt w:val="bullet"/>
      <w:lvlText w:val="-"/>
      <w:lvlJc w:val="left"/>
      <w:pPr>
        <w:ind w:left="3195" w:hanging="360"/>
      </w:pPr>
      <w:rPr>
        <w:rFonts w:ascii="Arial" w:eastAsia="Times New Roman"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16">
    <w:nsid w:val="627E3BBC"/>
    <w:multiLevelType w:val="hybridMultilevel"/>
    <w:tmpl w:val="5EF42DFC"/>
    <w:lvl w:ilvl="0" w:tplc="E57C50A6">
      <w:start w:val="1"/>
      <w:numFmt w:val="lowerLetter"/>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7">
    <w:nsid w:val="637B39F8"/>
    <w:multiLevelType w:val="hybridMultilevel"/>
    <w:tmpl w:val="C4207B5C"/>
    <w:lvl w:ilvl="0" w:tplc="728CC64C">
      <w:numFmt w:val="bullet"/>
      <w:lvlText w:val="-"/>
      <w:lvlJc w:val="left"/>
      <w:pPr>
        <w:ind w:left="3195" w:hanging="360"/>
      </w:pPr>
      <w:rPr>
        <w:rFonts w:ascii="Arial" w:eastAsia="Times New Roman"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18">
    <w:nsid w:val="65552E05"/>
    <w:multiLevelType w:val="hybridMultilevel"/>
    <w:tmpl w:val="990043D2"/>
    <w:lvl w:ilvl="0" w:tplc="85D8324A">
      <w:numFmt w:val="bullet"/>
      <w:lvlText w:val=""/>
      <w:lvlJc w:val="left"/>
      <w:pPr>
        <w:ind w:left="2490" w:hanging="360"/>
      </w:pPr>
      <w:rPr>
        <w:rFonts w:ascii="Wingdings" w:eastAsia="Times New Roman" w:hAnsi="Wingdings" w:cs="Times New Roman" w:hint="default"/>
      </w:rPr>
    </w:lvl>
    <w:lvl w:ilvl="1" w:tplc="340A0003" w:tentative="1">
      <w:start w:val="1"/>
      <w:numFmt w:val="bullet"/>
      <w:lvlText w:val="o"/>
      <w:lvlJc w:val="left"/>
      <w:pPr>
        <w:ind w:left="3210" w:hanging="360"/>
      </w:pPr>
      <w:rPr>
        <w:rFonts w:ascii="Courier New" w:hAnsi="Courier New" w:cs="Courier New" w:hint="default"/>
      </w:rPr>
    </w:lvl>
    <w:lvl w:ilvl="2" w:tplc="340A0005" w:tentative="1">
      <w:start w:val="1"/>
      <w:numFmt w:val="bullet"/>
      <w:lvlText w:val=""/>
      <w:lvlJc w:val="left"/>
      <w:pPr>
        <w:ind w:left="3930" w:hanging="360"/>
      </w:pPr>
      <w:rPr>
        <w:rFonts w:ascii="Wingdings" w:hAnsi="Wingdings" w:hint="default"/>
      </w:rPr>
    </w:lvl>
    <w:lvl w:ilvl="3" w:tplc="340A0001" w:tentative="1">
      <w:start w:val="1"/>
      <w:numFmt w:val="bullet"/>
      <w:lvlText w:val=""/>
      <w:lvlJc w:val="left"/>
      <w:pPr>
        <w:ind w:left="4650" w:hanging="360"/>
      </w:pPr>
      <w:rPr>
        <w:rFonts w:ascii="Symbol" w:hAnsi="Symbol" w:hint="default"/>
      </w:rPr>
    </w:lvl>
    <w:lvl w:ilvl="4" w:tplc="340A0003" w:tentative="1">
      <w:start w:val="1"/>
      <w:numFmt w:val="bullet"/>
      <w:lvlText w:val="o"/>
      <w:lvlJc w:val="left"/>
      <w:pPr>
        <w:ind w:left="5370" w:hanging="360"/>
      </w:pPr>
      <w:rPr>
        <w:rFonts w:ascii="Courier New" w:hAnsi="Courier New" w:cs="Courier New" w:hint="default"/>
      </w:rPr>
    </w:lvl>
    <w:lvl w:ilvl="5" w:tplc="340A0005" w:tentative="1">
      <w:start w:val="1"/>
      <w:numFmt w:val="bullet"/>
      <w:lvlText w:val=""/>
      <w:lvlJc w:val="left"/>
      <w:pPr>
        <w:ind w:left="6090" w:hanging="360"/>
      </w:pPr>
      <w:rPr>
        <w:rFonts w:ascii="Wingdings" w:hAnsi="Wingdings" w:hint="default"/>
      </w:rPr>
    </w:lvl>
    <w:lvl w:ilvl="6" w:tplc="340A0001" w:tentative="1">
      <w:start w:val="1"/>
      <w:numFmt w:val="bullet"/>
      <w:lvlText w:val=""/>
      <w:lvlJc w:val="left"/>
      <w:pPr>
        <w:ind w:left="6810" w:hanging="360"/>
      </w:pPr>
      <w:rPr>
        <w:rFonts w:ascii="Symbol" w:hAnsi="Symbol" w:hint="default"/>
      </w:rPr>
    </w:lvl>
    <w:lvl w:ilvl="7" w:tplc="340A0003" w:tentative="1">
      <w:start w:val="1"/>
      <w:numFmt w:val="bullet"/>
      <w:lvlText w:val="o"/>
      <w:lvlJc w:val="left"/>
      <w:pPr>
        <w:ind w:left="7530" w:hanging="360"/>
      </w:pPr>
      <w:rPr>
        <w:rFonts w:ascii="Courier New" w:hAnsi="Courier New" w:cs="Courier New" w:hint="default"/>
      </w:rPr>
    </w:lvl>
    <w:lvl w:ilvl="8" w:tplc="340A0005" w:tentative="1">
      <w:start w:val="1"/>
      <w:numFmt w:val="bullet"/>
      <w:lvlText w:val=""/>
      <w:lvlJc w:val="left"/>
      <w:pPr>
        <w:ind w:left="8250" w:hanging="360"/>
      </w:pPr>
      <w:rPr>
        <w:rFonts w:ascii="Wingdings" w:hAnsi="Wingdings" w:hint="default"/>
      </w:rPr>
    </w:lvl>
  </w:abstractNum>
  <w:abstractNum w:abstractNumId="19">
    <w:nsid w:val="79FD2F32"/>
    <w:multiLevelType w:val="hybridMultilevel"/>
    <w:tmpl w:val="A38479FC"/>
    <w:lvl w:ilvl="0" w:tplc="79680030">
      <w:numFmt w:val="bullet"/>
      <w:lvlText w:val="-"/>
      <w:lvlJc w:val="left"/>
      <w:pPr>
        <w:ind w:left="3195" w:hanging="360"/>
      </w:pPr>
      <w:rPr>
        <w:rFonts w:ascii="Arial" w:eastAsia="Times New Roman"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num w:numId="1">
    <w:abstractNumId w:val="6"/>
  </w:num>
  <w:num w:numId="2">
    <w:abstractNumId w:val="0"/>
  </w:num>
  <w:num w:numId="3">
    <w:abstractNumId w:val="14"/>
  </w:num>
  <w:num w:numId="4">
    <w:abstractNumId w:val="10"/>
  </w:num>
  <w:num w:numId="5">
    <w:abstractNumId w:val="18"/>
  </w:num>
  <w:num w:numId="6">
    <w:abstractNumId w:val="5"/>
  </w:num>
  <w:num w:numId="7">
    <w:abstractNumId w:val="13"/>
  </w:num>
  <w:num w:numId="8">
    <w:abstractNumId w:val="16"/>
  </w:num>
  <w:num w:numId="9">
    <w:abstractNumId w:val="8"/>
  </w:num>
  <w:num w:numId="10">
    <w:abstractNumId w:val="2"/>
  </w:num>
  <w:num w:numId="11">
    <w:abstractNumId w:val="1"/>
  </w:num>
  <w:num w:numId="12">
    <w:abstractNumId w:val="3"/>
  </w:num>
  <w:num w:numId="13">
    <w:abstractNumId w:val="17"/>
  </w:num>
  <w:num w:numId="14">
    <w:abstractNumId w:val="15"/>
  </w:num>
  <w:num w:numId="15">
    <w:abstractNumId w:val="9"/>
  </w:num>
  <w:num w:numId="16">
    <w:abstractNumId w:val="4"/>
  </w:num>
  <w:num w:numId="17">
    <w:abstractNumId w:val="7"/>
  </w:num>
  <w:num w:numId="18">
    <w:abstractNumId w:val="12"/>
  </w:num>
  <w:num w:numId="19">
    <w:abstractNumId w:val="1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ind w:firstLine="2835"/>
      <w:jc w:val="both"/>
    </w:pPr>
    <w:rPr>
      <w:sz w:val="24"/>
      <w:szCs w:val="24"/>
      <w:lang w:eastAsia="en-US"/>
    </w:rPr>
  </w:style>
  <w:style w:type="paragraph" w:styleId="Ttulo1">
    <w:name w:val="heading 1"/>
    <w:basedOn w:val="Normal"/>
    <w:next w:val="Normal"/>
    <w:link w:val="Ttulo1Car"/>
    <w:qFormat/>
    <w:pPr>
      <w:keepNext/>
      <w:numPr>
        <w:numId w:val="1"/>
      </w:numPr>
      <w:spacing w:before="240" w:after="60"/>
      <w:ind w:firstLine="0"/>
      <w:jc w:val="left"/>
      <w:outlineLvl w:val="0"/>
    </w:pPr>
    <w:rPr>
      <w:rFonts w:eastAsia="Times New Roman"/>
      <w:b/>
      <w:bCs/>
      <w:kern w:val="32"/>
      <w:sz w:val="32"/>
      <w:szCs w:val="32"/>
      <w:lang w:val="es-ES" w:eastAsia="es-ES"/>
    </w:rPr>
  </w:style>
  <w:style w:type="paragraph" w:styleId="Ttulo2">
    <w:name w:val="heading 2"/>
    <w:basedOn w:val="Normal"/>
    <w:next w:val="Normal"/>
    <w:link w:val="Ttulo2Car"/>
    <w:qFormat/>
    <w:pPr>
      <w:keepNext/>
      <w:spacing w:before="240" w:after="60"/>
      <w:ind w:firstLine="0"/>
      <w:jc w:val="left"/>
      <w:outlineLvl w:val="1"/>
    </w:pPr>
    <w:rPr>
      <w:rFonts w:eastAsia="Times New Roman"/>
      <w:b/>
      <w:bCs/>
      <w:i/>
      <w:iCs/>
      <w:sz w:val="28"/>
      <w:szCs w:val="28"/>
      <w:lang w:val="es-ES" w:eastAsia="es-ES"/>
    </w:rPr>
  </w:style>
  <w:style w:type="paragraph" w:styleId="Ttulo6">
    <w:name w:val="heading 6"/>
    <w:basedOn w:val="Normal"/>
    <w:next w:val="Normal"/>
    <w:link w:val="Ttulo6Car"/>
    <w:qFormat/>
    <w:pPr>
      <w:spacing w:before="240" w:after="60"/>
      <w:ind w:firstLine="0"/>
      <w:jc w:val="left"/>
      <w:outlineLvl w:val="5"/>
    </w:pPr>
    <w:rPr>
      <w:rFonts w:ascii="Times New Roman" w:eastAsia="Times New Roman" w:hAnsi="Times New Roman" w:cs="Times New Roman"/>
      <w:b/>
      <w:bCs/>
      <w:sz w:val="22"/>
      <w:szCs w:val="22"/>
      <w:lang w:val="es-ES" w:eastAsia="es-ES"/>
    </w:rPr>
  </w:style>
  <w:style w:type="paragraph" w:styleId="Ttulo7">
    <w:name w:val="heading 7"/>
    <w:basedOn w:val="Normal"/>
    <w:next w:val="Normal"/>
    <w:link w:val="Ttulo7Car"/>
    <w:qFormat/>
    <w:pPr>
      <w:spacing w:before="240" w:after="60"/>
      <w:ind w:firstLine="0"/>
      <w:jc w:val="left"/>
      <w:outlineLvl w:val="6"/>
    </w:pPr>
    <w:rPr>
      <w:rFonts w:ascii="Times New Roman" w:eastAsia="Times New Roman" w:hAnsi="Times New Roman"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eastAsia="Times New Roman"/>
      <w:b/>
      <w:bCs/>
      <w:kern w:val="32"/>
      <w:sz w:val="32"/>
      <w:szCs w:val="32"/>
      <w:lang w:val="es-ES" w:eastAsia="es-ES"/>
    </w:rPr>
  </w:style>
  <w:style w:type="character" w:customStyle="1" w:styleId="Ttulo2Car">
    <w:name w:val="Título 2 Car"/>
    <w:link w:val="Ttulo2"/>
    <w:rPr>
      <w:rFonts w:eastAsia="Times New Roman"/>
      <w:b/>
      <w:bCs/>
      <w:i/>
      <w:iCs/>
      <w:sz w:val="28"/>
      <w:szCs w:val="28"/>
      <w:lang w:val="es-ES" w:eastAsia="es-ES"/>
    </w:rPr>
  </w:style>
  <w:style w:type="character" w:customStyle="1" w:styleId="Ttulo6Car">
    <w:name w:val="Título 6 Car"/>
    <w:link w:val="Ttulo6"/>
    <w:rPr>
      <w:rFonts w:ascii="Times New Roman" w:eastAsia="Times New Roman" w:hAnsi="Times New Roman" w:cs="Times New Roman"/>
      <w:b/>
      <w:bCs/>
      <w:sz w:val="22"/>
      <w:szCs w:val="22"/>
      <w:lang w:val="es-ES" w:eastAsia="es-ES"/>
    </w:rPr>
  </w:style>
  <w:style w:type="character" w:customStyle="1" w:styleId="Ttulo7Car">
    <w:name w:val="Título 7 Car"/>
    <w:link w:val="Ttulo7"/>
    <w:rPr>
      <w:rFonts w:ascii="Times New Roman" w:eastAsia="Times New Roman" w:hAnsi="Times New Roman" w:cs="Times New Roman"/>
      <w:lang w:val="es-ES" w:eastAsia="es-ES"/>
    </w:rPr>
  </w:style>
  <w:style w:type="numbering" w:customStyle="1" w:styleId="Sinlista1">
    <w:name w:val="Sin lista1"/>
    <w:next w:val="Sinlista"/>
    <w:uiPriority w:val="99"/>
    <w:semiHidden/>
    <w:unhideWhenUsed/>
  </w:style>
  <w:style w:type="numbering" w:customStyle="1" w:styleId="Sinlista11">
    <w:name w:val="Sin lista11"/>
    <w:next w:val="Sinlista"/>
    <w:semiHidden/>
    <w:unhideWhenUsed/>
  </w:style>
  <w:style w:type="character" w:styleId="Hipervnculo">
    <w:name w:val="Hyperlink"/>
    <w:rPr>
      <w:color w:val="0000FF"/>
      <w:u w:val="single"/>
    </w:rPr>
  </w:style>
  <w:style w:type="paragraph" w:styleId="Textoindependiente">
    <w:name w:val="Body Text"/>
    <w:basedOn w:val="Normal"/>
    <w:link w:val="TextoindependienteCar"/>
    <w:pPr>
      <w:ind w:firstLine="0"/>
    </w:pPr>
    <w:rPr>
      <w:rFonts w:eastAsia="Times New Roman" w:cs="Times New Roman"/>
      <w:szCs w:val="20"/>
      <w:lang w:val="es-ES" w:eastAsia="es-ES"/>
    </w:rPr>
  </w:style>
  <w:style w:type="character" w:customStyle="1" w:styleId="TextoindependienteCar">
    <w:name w:val="Texto independiente Car"/>
    <w:link w:val="Textoindependiente"/>
    <w:rPr>
      <w:rFonts w:eastAsia="Times New Roman" w:cs="Times New Roman"/>
      <w:szCs w:val="20"/>
      <w:lang w:val="es-ES" w:eastAsia="es-ES"/>
    </w:rPr>
  </w:style>
  <w:style w:type="paragraph" w:styleId="Mapadeldocumento">
    <w:name w:val="Document Map"/>
    <w:basedOn w:val="Normal"/>
    <w:link w:val="MapadeldocumentoCar"/>
    <w:semiHidden/>
    <w:pPr>
      <w:shd w:val="clear" w:color="auto" w:fill="000080"/>
      <w:ind w:firstLine="0"/>
      <w:jc w:val="left"/>
    </w:pPr>
    <w:rPr>
      <w:rFonts w:ascii="Tahoma" w:eastAsia="Times New Roman" w:hAnsi="Tahoma" w:cs="Tahoma"/>
      <w:sz w:val="20"/>
      <w:szCs w:val="20"/>
      <w:lang w:val="es-ES" w:eastAsia="es-ES"/>
    </w:rPr>
  </w:style>
  <w:style w:type="character" w:customStyle="1" w:styleId="MapadeldocumentoCar">
    <w:name w:val="Mapa del documento Car"/>
    <w:link w:val="Mapadeldocumento"/>
    <w:semiHidden/>
    <w:rPr>
      <w:rFonts w:ascii="Tahoma" w:eastAsia="Times New Roman" w:hAnsi="Tahoma" w:cs="Tahoma"/>
      <w:sz w:val="20"/>
      <w:szCs w:val="20"/>
      <w:shd w:val="clear" w:color="auto" w:fill="000080"/>
      <w:lang w:val="es-ES" w:eastAsia="es-ES"/>
    </w:rPr>
  </w:style>
  <w:style w:type="paragraph" w:styleId="Encabezado">
    <w:name w:val="header"/>
    <w:basedOn w:val="Normal"/>
    <w:link w:val="EncabezadoCar"/>
    <w:pPr>
      <w:tabs>
        <w:tab w:val="center" w:pos="4252"/>
        <w:tab w:val="right" w:pos="8504"/>
      </w:tabs>
      <w:ind w:firstLine="0"/>
      <w:jc w:val="left"/>
    </w:pPr>
    <w:rPr>
      <w:rFonts w:ascii="Times New Roman" w:eastAsia="Times New Roman" w:hAnsi="Times New Roman" w:cs="Times New Roman"/>
      <w:sz w:val="20"/>
      <w:szCs w:val="20"/>
      <w:lang w:val="es-ES" w:eastAsia="es-ES"/>
    </w:rPr>
  </w:style>
  <w:style w:type="character" w:customStyle="1" w:styleId="EncabezadoCar">
    <w:name w:val="Encabezado Car"/>
    <w:link w:val="Encabezado"/>
    <w:rPr>
      <w:rFonts w:ascii="Times New Roman" w:eastAsia="Times New Roman" w:hAnsi="Times New Roman" w:cs="Times New Roman"/>
      <w:sz w:val="20"/>
      <w:szCs w:val="20"/>
      <w:lang w:val="es-ES" w:eastAsia="es-ES"/>
    </w:rPr>
  </w:style>
  <w:style w:type="character" w:styleId="Nmerodepgina">
    <w:name w:val="page number"/>
    <w:basedOn w:val="Fuentedeprrafopredeter"/>
  </w:style>
  <w:style w:type="paragraph" w:styleId="Textoindependiente2">
    <w:name w:val="Body Text 2"/>
    <w:basedOn w:val="Normal"/>
    <w:link w:val="Textoindependiente2Car"/>
    <w:pPr>
      <w:spacing w:after="120" w:line="480" w:lineRule="auto"/>
      <w:ind w:firstLine="0"/>
      <w:jc w:val="left"/>
    </w:pPr>
    <w:rPr>
      <w:rFonts w:ascii="Times New Roman" w:eastAsia="Times New Roman" w:hAnsi="Times New Roman" w:cs="Times New Roman"/>
      <w:lang w:val="es-ES" w:eastAsia="es-ES"/>
    </w:rPr>
  </w:style>
  <w:style w:type="character" w:customStyle="1" w:styleId="Textoindependiente2Car">
    <w:name w:val="Texto independiente 2 Car"/>
    <w:link w:val="Textoindependiente2"/>
    <w:rPr>
      <w:rFonts w:ascii="Times New Roman" w:eastAsia="Times New Roman" w:hAnsi="Times New Roman" w:cs="Times New Roman"/>
      <w:lang w:val="es-ES" w:eastAsia="es-ES"/>
    </w:rPr>
  </w:style>
  <w:style w:type="paragraph" w:styleId="NormalWeb">
    <w:name w:val="Normal (Web)"/>
    <w:basedOn w:val="Normal"/>
    <w:uiPriority w:val="99"/>
    <w:pPr>
      <w:spacing w:before="100" w:beforeAutospacing="1" w:after="100" w:afterAutospacing="1"/>
      <w:ind w:firstLine="0"/>
      <w:jc w:val="left"/>
    </w:pPr>
    <w:rPr>
      <w:rFonts w:ascii="Times New Roman" w:eastAsia="Times New Roman" w:hAnsi="Times New Roman" w:cs="Times New Roman"/>
      <w:lang w:val="es-ES" w:eastAsia="es-ES"/>
    </w:rPr>
  </w:style>
  <w:style w:type="table" w:styleId="Tablaconcuadrcula">
    <w:name w:val="Table Grid"/>
    <w:basedOn w:val="Tablanormal"/>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1">
    <w:name w:val="toc 1"/>
    <w:basedOn w:val="Normal"/>
    <w:next w:val="Normal"/>
    <w:autoRedefine/>
    <w:semiHidden/>
    <w:pPr>
      <w:spacing w:before="360"/>
      <w:ind w:firstLine="0"/>
      <w:jc w:val="left"/>
    </w:pPr>
    <w:rPr>
      <w:rFonts w:eastAsia="Times New Roman"/>
      <w:b/>
      <w:bCs/>
      <w:caps/>
      <w:lang w:val="es-ES" w:eastAsia="es-ES"/>
    </w:rPr>
  </w:style>
  <w:style w:type="paragraph" w:customStyle="1" w:styleId="Textoindependiente21">
    <w:name w:val="Texto independiente 21"/>
    <w:basedOn w:val="Normal"/>
    <w:pPr>
      <w:overflowPunct w:val="0"/>
      <w:autoSpaceDE w:val="0"/>
      <w:autoSpaceDN w:val="0"/>
      <w:adjustRightInd w:val="0"/>
      <w:ind w:firstLine="0"/>
      <w:textAlignment w:val="baseline"/>
    </w:pPr>
    <w:rPr>
      <w:rFonts w:ascii="Times" w:eastAsia="Times New Roman" w:hAnsi="Times" w:cs="Times New Roman"/>
      <w:szCs w:val="20"/>
      <w:lang w:val="es-ES_tradnl" w:eastAsia="es-ES"/>
    </w:rPr>
  </w:style>
  <w:style w:type="paragraph" w:styleId="Listaconvietas">
    <w:name w:val="List Bullet"/>
    <w:basedOn w:val="Normal"/>
    <w:pPr>
      <w:numPr>
        <w:numId w:val="2"/>
      </w:numPr>
      <w:jc w:val="left"/>
    </w:pPr>
    <w:rPr>
      <w:rFonts w:ascii="Times New Roman" w:eastAsia="Times New Roman" w:hAnsi="Times New Roman" w:cs="Times New Roman"/>
      <w:sz w:val="20"/>
      <w:szCs w:val="20"/>
      <w:lang w:val="es-ES" w:eastAsia="es-ES"/>
    </w:rPr>
  </w:style>
  <w:style w:type="paragraph" w:customStyle="1" w:styleId="Textoindependiente31">
    <w:name w:val="Texto independiente 31"/>
    <w:basedOn w:val="Normal"/>
    <w:pPr>
      <w:overflowPunct w:val="0"/>
      <w:autoSpaceDE w:val="0"/>
      <w:autoSpaceDN w:val="0"/>
      <w:adjustRightInd w:val="0"/>
      <w:ind w:firstLine="0"/>
      <w:textAlignment w:val="baseline"/>
    </w:pPr>
    <w:rPr>
      <w:rFonts w:ascii="Times" w:eastAsia="Times New Roman" w:hAnsi="Times" w:cs="Times New Roman"/>
      <w:b/>
      <w:szCs w:val="20"/>
      <w:lang w:val="es-ES_tradnl" w:eastAsia="es-ES"/>
    </w:rPr>
  </w:style>
  <w:style w:type="paragraph" w:styleId="Piedepgina">
    <w:name w:val="footer"/>
    <w:basedOn w:val="Normal"/>
    <w:link w:val="PiedepginaCar"/>
    <w:pPr>
      <w:tabs>
        <w:tab w:val="center" w:pos="4252"/>
        <w:tab w:val="right" w:pos="8504"/>
      </w:tabs>
      <w:ind w:firstLine="0"/>
      <w:jc w:val="left"/>
    </w:pPr>
    <w:rPr>
      <w:rFonts w:ascii="Times New Roman" w:eastAsia="Times New Roman" w:hAnsi="Times New Roman" w:cs="Times New Roman"/>
      <w:sz w:val="20"/>
      <w:szCs w:val="20"/>
      <w:lang w:val="es-ES" w:eastAsia="es-ES"/>
    </w:rPr>
  </w:style>
  <w:style w:type="character" w:customStyle="1" w:styleId="PiedepginaCar">
    <w:name w:val="Pie de página Car"/>
    <w:link w:val="Piedepgina"/>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semiHidden/>
    <w:pPr>
      <w:ind w:firstLine="0"/>
      <w:jc w:val="left"/>
    </w:pPr>
    <w:rPr>
      <w:rFonts w:ascii="Tahoma" w:eastAsia="Times New Roman" w:hAnsi="Tahoma" w:cs="Tahoma"/>
      <w:sz w:val="16"/>
      <w:szCs w:val="16"/>
      <w:lang w:val="es-ES" w:eastAsia="es-ES"/>
    </w:rPr>
  </w:style>
  <w:style w:type="character" w:customStyle="1" w:styleId="TextodegloboCar">
    <w:name w:val="Texto de globo Car"/>
    <w:link w:val="Textodeglobo"/>
    <w:semiHidden/>
    <w:rPr>
      <w:rFonts w:ascii="Tahoma" w:eastAsia="Times New Roman" w:hAnsi="Tahoma" w:cs="Tahoma"/>
      <w:sz w:val="16"/>
      <w:szCs w:val="16"/>
      <w:lang w:val="es-ES" w:eastAsia="es-ES"/>
    </w:rPr>
  </w:style>
  <w:style w:type="paragraph" w:styleId="HTMLconformatoprevio">
    <w:name w:val="HTML Preformatted"/>
    <w:basedOn w:val="Normal"/>
    <w:link w:val="HTMLconformatoprevioC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val="es-ES" w:eastAsia="es-ES"/>
    </w:rPr>
  </w:style>
  <w:style w:type="character" w:customStyle="1" w:styleId="HTMLconformatoprevioCar">
    <w:name w:val="HTML con formato previo Car"/>
    <w:link w:val="HTMLconformatoprevio"/>
    <w:uiPriority w:val="99"/>
    <w:rPr>
      <w:rFonts w:ascii="Courier New" w:eastAsia="Times New Roman" w:hAnsi="Courier New" w:cs="Courier New"/>
      <w:sz w:val="20"/>
      <w:szCs w:val="20"/>
      <w:lang w:val="es-ES" w:eastAsia="es-ES"/>
    </w:rPr>
  </w:style>
  <w:style w:type="character" w:customStyle="1" w:styleId="link-external1">
    <w:name w:val="link-external1"/>
    <w:rPr>
      <w:strike w:val="0"/>
      <w:dstrike w:val="0"/>
      <w:u w:val="none"/>
      <w:effect w:val="none"/>
    </w:rPr>
  </w:style>
  <w:style w:type="character" w:styleId="Textoennegrita">
    <w:name w:val="Strong"/>
    <w:uiPriority w:val="22"/>
    <w:qFormat/>
    <w:rPr>
      <w:b/>
      <w:bCs/>
    </w:rPr>
  </w:style>
  <w:style w:type="character" w:customStyle="1" w:styleId="textoverde1">
    <w:name w:val="texto_verde1"/>
    <w:rPr>
      <w:color w:val="669900"/>
      <w:sz w:val="24"/>
      <w:szCs w:val="24"/>
    </w:rPr>
  </w:style>
  <w:style w:type="character" w:customStyle="1" w:styleId="highlightedsearchterm">
    <w:name w:val="highlightedsearchterm"/>
    <w:basedOn w:val="Fuentedeprrafopredeter"/>
  </w:style>
  <w:style w:type="character" w:styleId="nfasis">
    <w:name w:val="Emphasis"/>
    <w:uiPriority w:val="20"/>
    <w:qFormat/>
    <w:rPr>
      <w:b/>
      <w:bCs/>
      <w:i w:val="0"/>
      <w:iCs w:val="0"/>
    </w:rPr>
  </w:style>
  <w:style w:type="character" w:customStyle="1" w:styleId="st">
    <w:name w:val="st"/>
    <w:basedOn w:val="Fuentedeprrafopredeter"/>
  </w:style>
  <w:style w:type="paragraph" w:styleId="Listavistosa-nfasis1">
    <w:name w:val="Colorful List Accent 1"/>
    <w:basedOn w:val="Normal"/>
    <w:uiPriority w:val="34"/>
    <w:qFormat/>
    <w:pPr>
      <w:spacing w:after="200" w:line="276" w:lineRule="auto"/>
      <w:ind w:left="720" w:firstLine="0"/>
      <w:contextualSpacing/>
      <w:jc w:val="left"/>
    </w:pPr>
    <w:rPr>
      <w:rFonts w:ascii="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6939">
      <w:bodyDiv w:val="1"/>
      <w:marLeft w:val="0"/>
      <w:marRight w:val="0"/>
      <w:marTop w:val="0"/>
      <w:marBottom w:val="0"/>
      <w:divBdr>
        <w:top w:val="none" w:sz="0" w:space="0" w:color="auto"/>
        <w:left w:val="none" w:sz="0" w:space="0" w:color="auto"/>
        <w:bottom w:val="none" w:sz="0" w:space="0" w:color="auto"/>
        <w:right w:val="none" w:sz="0" w:space="0" w:color="auto"/>
      </w:divBdr>
    </w:div>
    <w:div w:id="52891352">
      <w:bodyDiv w:val="1"/>
      <w:marLeft w:val="0"/>
      <w:marRight w:val="0"/>
      <w:marTop w:val="0"/>
      <w:marBottom w:val="0"/>
      <w:divBdr>
        <w:top w:val="none" w:sz="0" w:space="0" w:color="auto"/>
        <w:left w:val="none" w:sz="0" w:space="0" w:color="auto"/>
        <w:bottom w:val="none" w:sz="0" w:space="0" w:color="auto"/>
        <w:right w:val="none" w:sz="0" w:space="0" w:color="auto"/>
      </w:divBdr>
    </w:div>
    <w:div w:id="176770222">
      <w:bodyDiv w:val="1"/>
      <w:marLeft w:val="0"/>
      <w:marRight w:val="0"/>
      <w:marTop w:val="0"/>
      <w:marBottom w:val="0"/>
      <w:divBdr>
        <w:top w:val="none" w:sz="0" w:space="0" w:color="auto"/>
        <w:left w:val="none" w:sz="0" w:space="0" w:color="auto"/>
        <w:bottom w:val="none" w:sz="0" w:space="0" w:color="auto"/>
        <w:right w:val="none" w:sz="0" w:space="0" w:color="auto"/>
      </w:divBdr>
    </w:div>
    <w:div w:id="606814587">
      <w:bodyDiv w:val="1"/>
      <w:marLeft w:val="0"/>
      <w:marRight w:val="0"/>
      <w:marTop w:val="0"/>
      <w:marBottom w:val="0"/>
      <w:divBdr>
        <w:top w:val="none" w:sz="0" w:space="0" w:color="auto"/>
        <w:left w:val="none" w:sz="0" w:space="0" w:color="auto"/>
        <w:bottom w:val="none" w:sz="0" w:space="0" w:color="auto"/>
        <w:right w:val="none" w:sz="0" w:space="0" w:color="auto"/>
      </w:divBdr>
    </w:div>
    <w:div w:id="1065835814">
      <w:bodyDiv w:val="1"/>
      <w:marLeft w:val="0"/>
      <w:marRight w:val="0"/>
      <w:marTop w:val="0"/>
      <w:marBottom w:val="0"/>
      <w:divBdr>
        <w:top w:val="none" w:sz="0" w:space="0" w:color="auto"/>
        <w:left w:val="none" w:sz="0" w:space="0" w:color="auto"/>
        <w:bottom w:val="none" w:sz="0" w:space="0" w:color="auto"/>
        <w:right w:val="none" w:sz="0" w:space="0" w:color="auto"/>
      </w:divBdr>
    </w:div>
    <w:div w:id="1439788861">
      <w:bodyDiv w:val="1"/>
      <w:marLeft w:val="0"/>
      <w:marRight w:val="0"/>
      <w:marTop w:val="0"/>
      <w:marBottom w:val="0"/>
      <w:divBdr>
        <w:top w:val="none" w:sz="0" w:space="0" w:color="auto"/>
        <w:left w:val="none" w:sz="0" w:space="0" w:color="auto"/>
        <w:bottom w:val="none" w:sz="0" w:space="0" w:color="auto"/>
        <w:right w:val="none" w:sz="0" w:space="0" w:color="auto"/>
      </w:divBdr>
    </w:div>
    <w:div w:id="1843659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mercadopublico.cl" TargetMode="External"/><Relationship Id="rId3" Type="http://schemas.openxmlformats.org/officeDocument/2006/relationships/settings" Target="settings.xml"/><Relationship Id="rId7" Type="http://schemas.openxmlformats.org/officeDocument/2006/relationships/hyperlink" Target="http://www.empleospublicos.c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7125</Words>
  <Characters>39190</Characters>
  <Application>Microsoft Office Word</Application>
  <DocSecurity>4</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46223</CharactersWithSpaces>
  <SharedDoc>false</SharedDoc>
  <HLinks>
    <vt:vector size="12" baseType="variant">
      <vt:variant>
        <vt:i4>131141</vt:i4>
      </vt:variant>
      <vt:variant>
        <vt:i4>3</vt:i4>
      </vt:variant>
      <vt:variant>
        <vt:i4>0</vt:i4>
      </vt:variant>
      <vt:variant>
        <vt:i4>5</vt:i4>
      </vt:variant>
      <vt:variant>
        <vt:lpwstr>http://www.mercadopublico.cl/</vt:lpwstr>
      </vt:variant>
      <vt:variant>
        <vt:lpwstr/>
      </vt:variant>
      <vt:variant>
        <vt:i4>7143528</vt:i4>
      </vt:variant>
      <vt:variant>
        <vt:i4>0</vt:i4>
      </vt:variant>
      <vt:variant>
        <vt:i4>0</vt:i4>
      </vt:variant>
      <vt:variant>
        <vt:i4>5</vt:i4>
      </vt:variant>
      <vt:variant>
        <vt:lpwstr>http://www.empleospublicos.cl/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leofigueroa</dc:creator>
  <cp:lastModifiedBy>Comisiones</cp:lastModifiedBy>
  <cp:revision>2</cp:revision>
  <cp:lastPrinted>2016-11-03T16:07:00Z</cp:lastPrinted>
  <dcterms:created xsi:type="dcterms:W3CDTF">2016-11-04T19:27:00Z</dcterms:created>
  <dcterms:modified xsi:type="dcterms:W3CDTF">2016-11-04T19:27:00Z</dcterms:modified>
</cp:coreProperties>
</file>